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46FE7">
      <w:pPr>
        <w:pStyle w:val="pc"/>
      </w:pPr>
      <w:bookmarkStart w:id="0" w:name="_GoBack"/>
      <w:bookmarkEnd w:id="0"/>
      <w:r>
        <w:rPr>
          <w:rStyle w:val="s1"/>
        </w:rPr>
        <w:t>Рекомендация Совета Евразийской экономической комиссии от 18 октября 2024 года № 1</w:t>
      </w:r>
      <w:r>
        <w:rPr>
          <w:rStyle w:val="s1"/>
        </w:rPr>
        <w:br/>
        <w:t>Об общих подходах к развитию регулирования обращения лекарственных средств в рамках</w:t>
      </w:r>
      <w:r>
        <w:rPr>
          <w:rStyle w:val="s1"/>
        </w:rPr>
        <w:br/>
        <w:t>Евразийского экономического союза в части сбора, анализа и использования данных</w:t>
      </w:r>
      <w:r>
        <w:rPr>
          <w:rStyle w:val="s1"/>
        </w:rPr>
        <w:br/>
        <w:t xml:space="preserve">реальной </w:t>
      </w:r>
      <w:r>
        <w:rPr>
          <w:rStyle w:val="s1"/>
        </w:rPr>
        <w:t>клинической практики</w:t>
      </w:r>
      <w:r>
        <w:rPr>
          <w:rStyle w:val="s1"/>
        </w:rPr>
        <w:br/>
        <w:t>(г. Москва)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 xml:space="preserve">Совет Евразийской экономической комиссии в соответствии с </w:t>
      </w:r>
      <w:hyperlink r:id="rId7" w:anchor="sub_id=30300" w:history="1">
        <w:r>
          <w:rPr>
            <w:rStyle w:val="a4"/>
          </w:rPr>
          <w:t>пунктом 3 статьи 3,</w:t>
        </w:r>
      </w:hyperlink>
      <w:r>
        <w:rPr>
          <w:rStyle w:val="s0"/>
        </w:rPr>
        <w:t xml:space="preserve"> </w:t>
      </w:r>
      <w:hyperlink r:id="rId8" w:anchor="sub_id=40000" w:history="1">
        <w:r>
          <w:rPr>
            <w:rStyle w:val="a4"/>
          </w:rPr>
          <w:t>пунктами 1 и 2 статьи 4,</w:t>
        </w:r>
      </w:hyperlink>
      <w:r>
        <w:rPr>
          <w:rStyle w:val="s0"/>
        </w:rPr>
        <w:t xml:space="preserve"> </w:t>
      </w:r>
      <w:hyperlink r:id="rId9" w:anchor="sub_id=60000" w:history="1">
        <w:r>
          <w:rPr>
            <w:rStyle w:val="a4"/>
          </w:rPr>
          <w:t>статьей 6,</w:t>
        </w:r>
      </w:hyperlink>
      <w:r>
        <w:rPr>
          <w:rStyle w:val="s0"/>
        </w:rPr>
        <w:t xml:space="preserve"> пунктами 2 и 7 </w:t>
      </w:r>
      <w:hyperlink r:id="rId10" w:anchor="sub_id=70200" w:history="1">
        <w:r>
          <w:rPr>
            <w:rStyle w:val="a4"/>
          </w:rPr>
          <w:t>статьи 7,</w:t>
        </w:r>
      </w:hyperlink>
      <w:r>
        <w:rPr>
          <w:rStyle w:val="s0"/>
        </w:rPr>
        <w:t xml:space="preserve"> </w:t>
      </w:r>
      <w:hyperlink r:id="rId11" w:anchor="sub_id=120000" w:history="1">
        <w:r>
          <w:rPr>
            <w:rStyle w:val="a4"/>
          </w:rPr>
          <w:t>пунктами 1 и 2 статьи 12</w:t>
        </w:r>
      </w:hyperlink>
      <w:r>
        <w:rPr>
          <w:rStyle w:val="s0"/>
        </w:rPr>
        <w:t xml:space="preserve"> Соглашения о единых принципах и правилах обращения лекарственных средств в рамках Евразийског</w:t>
      </w:r>
      <w:r>
        <w:rPr>
          <w:rStyle w:val="s0"/>
        </w:rPr>
        <w:t>о экономического союза от 23 декабря 2014 года, в целях выработки общих подходов к организации сбора, анализа и использования данных реальной клинической практики в сфере обращения лекарственных средств</w:t>
      </w:r>
    </w:p>
    <w:p w:rsidR="00000000" w:rsidRDefault="00C46FE7">
      <w:pPr>
        <w:pStyle w:val="pj"/>
      </w:pPr>
      <w:r>
        <w:rPr>
          <w:rStyle w:val="s0"/>
          <w:b/>
          <w:bCs/>
        </w:rPr>
        <w:t>рекомендует</w:t>
      </w:r>
      <w:r>
        <w:rPr>
          <w:rStyle w:val="s0"/>
        </w:rPr>
        <w:t xml:space="preserve"> государствам - членам Евразийского эконом</w:t>
      </w:r>
      <w:r>
        <w:rPr>
          <w:rStyle w:val="s0"/>
        </w:rPr>
        <w:t xml:space="preserve">ического союза с даты </w:t>
      </w:r>
      <w:hyperlink r:id="rId12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настоящей Рекомендации на официальном сайте Евразийского экономического союза при сборе, анализе и использовании данных реальной клинической практики в рам</w:t>
      </w:r>
      <w:r>
        <w:rPr>
          <w:rStyle w:val="s0"/>
        </w:rPr>
        <w:t xml:space="preserve">ках развития регулирования обращения лекарственных средств применять общие подходы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>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0"/>
          <w:b/>
          <w:bCs/>
        </w:rPr>
        <w:t> </w:t>
      </w:r>
    </w:p>
    <w:p w:rsidR="00000000" w:rsidRDefault="00C46FE7">
      <w:pPr>
        <w:pStyle w:val="pc"/>
      </w:pPr>
      <w:r>
        <w:rPr>
          <w:rStyle w:val="s0"/>
          <w:b/>
          <w:bCs/>
        </w:rPr>
        <w:t>Члены Совета Евразийской экономической комиссии:</w:t>
      </w:r>
    </w:p>
    <w:p w:rsidR="00000000" w:rsidRDefault="00C46FE7">
      <w:pPr>
        <w:pStyle w:val="pj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051"/>
        <w:gridCol w:w="1856"/>
        <w:gridCol w:w="1856"/>
        <w:gridCol w:w="1855"/>
      </w:tblGrid>
      <w:tr w:rsidR="00000000">
        <w:trPr>
          <w:cantSplit/>
          <w:trHeight w:val="675"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Армения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Беларусь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От Республики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Ка</w:t>
            </w:r>
            <w:r>
              <w:rPr>
                <w:rStyle w:val="s0"/>
                <w:b/>
                <w:bCs/>
              </w:rPr>
              <w:t>захстан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От Кыргызской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Республики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От Российской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Федерации</w:t>
            </w:r>
          </w:p>
        </w:tc>
      </w:tr>
      <w:tr w:rsidR="00000000">
        <w:trPr>
          <w:cantSplit/>
          <w:trHeight w:val="70"/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  <w:spacing w:line="70" w:lineRule="atLeast"/>
            </w:pPr>
            <w:r>
              <w:rPr>
                <w:rStyle w:val="s0"/>
                <w:b/>
                <w:bCs/>
              </w:rPr>
              <w:t>М. Григорян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  <w:spacing w:line="70" w:lineRule="atLeast"/>
            </w:pPr>
            <w:r>
              <w:rPr>
                <w:rStyle w:val="s0"/>
                <w:b/>
                <w:bCs/>
              </w:rPr>
              <w:t>И. Петришенко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46FE7">
            <w:pPr>
              <w:pStyle w:val="pc"/>
              <w:spacing w:line="70" w:lineRule="atLeast"/>
            </w:pPr>
            <w:r>
              <w:rPr>
                <w:rStyle w:val="s0"/>
                <w:b/>
                <w:bCs/>
              </w:rPr>
              <w:t>С. Жумангарин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46FE7">
            <w:pPr>
              <w:pStyle w:val="pc"/>
              <w:spacing w:line="70" w:lineRule="atLeast"/>
            </w:pPr>
            <w:r>
              <w:rPr>
                <w:rStyle w:val="s0"/>
                <w:b/>
                <w:bCs/>
              </w:rPr>
              <w:t>А. Касымалиев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C46FE7">
            <w:pPr>
              <w:pStyle w:val="pc"/>
              <w:spacing w:line="70" w:lineRule="atLeast"/>
            </w:pPr>
            <w:r>
              <w:rPr>
                <w:rStyle w:val="s0"/>
                <w:b/>
                <w:bCs/>
              </w:rPr>
              <w:t>А. Оверчук</w:t>
            </w:r>
          </w:p>
        </w:tc>
      </w:tr>
    </w:tbl>
    <w:p w:rsidR="00000000" w:rsidRDefault="00C46FE7">
      <w:pPr>
        <w:pStyle w:val="pc"/>
      </w:pPr>
      <w:r>
        <w:rPr>
          <w:snapToGrid w:val="0"/>
          <w:sz w:val="28"/>
          <w:szCs w:val="28"/>
        </w:rPr>
        <w:t> </w:t>
      </w:r>
    </w:p>
    <w:p w:rsidR="00000000" w:rsidRDefault="00C46FE7">
      <w:pPr>
        <w:pStyle w:val="pr"/>
      </w:pPr>
      <w:bookmarkStart w:id="1" w:name="SUB100"/>
      <w:bookmarkEnd w:id="1"/>
      <w:r>
        <w:rPr>
          <w:rStyle w:val="s0"/>
        </w:rPr>
        <w:t>ПРИЛОЖЕНИЕ</w:t>
      </w:r>
    </w:p>
    <w:p w:rsidR="00000000" w:rsidRDefault="00C46FE7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Рекомендации</w:t>
        </w:r>
      </w:hyperlink>
      <w:r>
        <w:rPr>
          <w:rStyle w:val="s0"/>
        </w:rPr>
        <w:t xml:space="preserve"> Совета</w:t>
      </w:r>
    </w:p>
    <w:p w:rsidR="00000000" w:rsidRDefault="00C46FE7">
      <w:pPr>
        <w:pStyle w:val="pr"/>
      </w:pPr>
      <w:r>
        <w:rPr>
          <w:rStyle w:val="s0"/>
        </w:rPr>
        <w:t>Евразийской экономической комиссии</w:t>
      </w:r>
    </w:p>
    <w:p w:rsidR="00000000" w:rsidRDefault="00C46FE7">
      <w:pPr>
        <w:pStyle w:val="pr"/>
      </w:pPr>
      <w:r>
        <w:rPr>
          <w:rStyle w:val="s0"/>
        </w:rPr>
        <w:t>от 18 октября 2024 г. № 1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ОБЩИЕ ПОДХОДЫ</w:t>
      </w:r>
      <w:r>
        <w:rPr>
          <w:rStyle w:val="s1"/>
        </w:rPr>
        <w:br/>
        <w:t>к развитию регулирования обращения лекарственных средств в рамках Евразийского экономического</w:t>
      </w:r>
      <w:r>
        <w:rPr>
          <w:rStyle w:val="s1"/>
        </w:rPr>
        <w:br/>
        <w:t>союза в части сбора, анализа и использования данных реальной клинической практики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I. Общие положения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1. Настоящи</w:t>
      </w:r>
      <w:r>
        <w:rPr>
          <w:rStyle w:val="s0"/>
        </w:rPr>
        <w:t>е Общие подходы представляют собой систему взглядов, принципов и приоритетов в части сбора, анализа и использования данных реальной клинической практики в сфере обращения лекарственных препаратов и предусматривают основные направления, формы и методы, кото</w:t>
      </w:r>
      <w:r>
        <w:rPr>
          <w:rStyle w:val="s0"/>
        </w:rPr>
        <w:t>рые в дальнейшем позволят осуществлять трансформацию данных реальной клинической практики в доказательственную базу для поддержки принятия решений, принимаемых уполномоченными органами (экспертными организациями) в сфере обращения лекарственных средств в р</w:t>
      </w:r>
      <w:r>
        <w:rPr>
          <w:rStyle w:val="s0"/>
        </w:rPr>
        <w:t>амках Евразийского экономического союза (далее - Союз).</w:t>
      </w:r>
    </w:p>
    <w:p w:rsidR="00000000" w:rsidRDefault="00C46FE7">
      <w:pPr>
        <w:pStyle w:val="pj"/>
      </w:pPr>
      <w:r>
        <w:rPr>
          <w:rStyle w:val="s0"/>
        </w:rPr>
        <w:t>2. Настоящие Общие подходы позволяют координировать подходы уполномоченных органов (экспертных организаций) государств - членов Союза (далее - государства-члены), профессиональных медицинских и научны</w:t>
      </w:r>
      <w:r>
        <w:rPr>
          <w:rStyle w:val="s0"/>
        </w:rPr>
        <w:t>х сообществ государств-членов, технологических компаний - производителей медицинского программного обеспечения и специализированного программного обеспечения для проведения медицинских (клинических) исследований, а также провайдеров хостинга (далее - техно</w:t>
      </w:r>
      <w:r>
        <w:rPr>
          <w:rStyle w:val="s0"/>
        </w:rPr>
        <w:t>логические компании) и компаний - производителей лекарственных препаратов для медицинского применения или медицинских устройств для решения вопросов устойчивого развития подходов к сбору, хранению, анализу и использованию данных реальной клинической практи</w:t>
      </w:r>
      <w:r>
        <w:rPr>
          <w:rStyle w:val="s0"/>
        </w:rPr>
        <w:t>ки для решений, принимаемых уполномоченными органами (экспертными организациями) в сфере обращения лекарственных средств в рамках Союза.</w:t>
      </w:r>
    </w:p>
    <w:p w:rsidR="00000000" w:rsidRDefault="00C46FE7">
      <w:pPr>
        <w:pStyle w:val="pj"/>
      </w:pPr>
      <w:r>
        <w:rPr>
          <w:rStyle w:val="s0"/>
        </w:rPr>
        <w:t>3. Настоящие Общие подходы позволяют обеспечить в отношении данных реальной клинической практики согласованность выполн</w:t>
      </w:r>
      <w:r>
        <w:rPr>
          <w:rStyle w:val="s0"/>
        </w:rPr>
        <w:t>ения положений, включенных в:</w:t>
      </w:r>
    </w:p>
    <w:p w:rsidR="00000000" w:rsidRDefault="00C46FE7">
      <w:pPr>
        <w:pStyle w:val="pj"/>
      </w:pPr>
      <w:hyperlink r:id="rId13" w:history="1">
        <w:r>
          <w:rPr>
            <w:rStyle w:val="a4"/>
          </w:rPr>
          <w:t>Соглашение</w:t>
        </w:r>
      </w:hyperlink>
      <w:r>
        <w:rPr>
          <w:rStyle w:val="s0"/>
        </w:rPr>
        <w:t xml:space="preserve"> о единых принципах и правилах обращения лекарственных препаратов в рамках Евразийского экономического союза от 23 декабря 2014 года;</w:t>
      </w:r>
    </w:p>
    <w:p w:rsidR="00000000" w:rsidRDefault="00C46FE7">
      <w:pPr>
        <w:pStyle w:val="pj"/>
      </w:pPr>
      <w:hyperlink r:id="rId14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75 «Об утверждении Положения об Экспертном комитете по лекарственным средствам»;</w:t>
      </w:r>
    </w:p>
    <w:p w:rsidR="00000000" w:rsidRDefault="00C46FE7">
      <w:pPr>
        <w:pStyle w:val="pj"/>
      </w:pPr>
      <w:hyperlink r:id="rId15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78 «О Правилах регистрации и экспертизы лекарственных средств для медицинского применения»;</w:t>
      </w:r>
    </w:p>
    <w:p w:rsidR="00000000" w:rsidRDefault="00C46FE7">
      <w:pPr>
        <w:pStyle w:val="pj"/>
      </w:pPr>
      <w:hyperlink r:id="rId16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</w:t>
      </w:r>
      <w:r>
        <w:rPr>
          <w:rStyle w:val="s0"/>
        </w:rPr>
        <w:t>Совета Евразийской экономической комиссии от 3 ноября 2016 г. № 79 «Об утверждении Правил надлежащей клинической практики Евразийского экономического союза»;</w:t>
      </w:r>
    </w:p>
    <w:p w:rsidR="00000000" w:rsidRDefault="00C46FE7">
      <w:pPr>
        <w:pStyle w:val="pj"/>
      </w:pPr>
      <w:hyperlink r:id="rId17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</w:t>
      </w:r>
      <w:r>
        <w:rPr>
          <w:rStyle w:val="s0"/>
        </w:rPr>
        <w:t>ической комиссии от 3 ноября 2016 г. № 86 «О Порядке взаимодействия государств-членов Евразийского экономического союза по выявлению фальсифицированных, контрафактных и (или) недоброкачественных лекарственных средств»;</w:t>
      </w:r>
    </w:p>
    <w:p w:rsidR="00000000" w:rsidRDefault="00C46FE7">
      <w:pPr>
        <w:pStyle w:val="pj"/>
      </w:pPr>
      <w:hyperlink r:id="rId18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87 «Об утверждении Правил надлежащей практики фармаконадзора Евразийского экономического союза»;</w:t>
      </w:r>
    </w:p>
    <w:p w:rsidR="00000000" w:rsidRDefault="00C46FE7">
      <w:pPr>
        <w:pStyle w:val="pj"/>
      </w:pPr>
      <w:hyperlink r:id="rId19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88 «Об утверждении требований к инструкции по медицинскому применению лекарственного препарата и общей характеристике лекарственного препарата для медицинского применения»;</w:t>
      </w:r>
    </w:p>
    <w:p w:rsidR="00000000" w:rsidRDefault="00C46FE7">
      <w:pPr>
        <w:pStyle w:val="pj"/>
      </w:pPr>
      <w:hyperlink r:id="rId20" w:history="1">
        <w:r>
          <w:rPr>
            <w:rStyle w:val="a4"/>
          </w:rPr>
          <w:t>Решение</w:t>
        </w:r>
      </w:hyperlink>
      <w:r>
        <w:rPr>
          <w:rStyle w:val="s0"/>
        </w:rPr>
        <w:t xml:space="preserve"> Совета Евразийской экономической комиссии от 3 ноября 2016 г. № 89 «Об утверждении Правил проведения исследований биологических лекарственных средств Евразийского экономического союза».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II. Определения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4. Для целей настоящих Общих подходов используются понятия, которые означают следующее:</w:t>
      </w:r>
    </w:p>
    <w:p w:rsidR="00000000" w:rsidRDefault="00C46FE7">
      <w:pPr>
        <w:pStyle w:val="pj"/>
      </w:pPr>
      <w:r>
        <w:rPr>
          <w:rStyle w:val="s0"/>
        </w:rPr>
        <w:t>«данные об исходах, сообщаемые пациентами» (patient-reported outcome, PRO) - один из методов оценки клинических исходов заболевания, дополняющий так</w:t>
      </w:r>
      <w:r>
        <w:rPr>
          <w:rStyle w:val="s0"/>
        </w:rPr>
        <w:t>ие методы оценки клинических исследований, как биомаркеры, параметры заболевания (например, инсульт, инфаркт миокарда), бремя заболевания (например, госпитализация) и выживаемость пациентов, и представляющий собой любые сообщения (в том числе результаты за</w:t>
      </w:r>
      <w:r>
        <w:rPr>
          <w:rStyle w:val="s0"/>
        </w:rPr>
        <w:t>полнения опросников, опосредованные отчеты и наблюдения лиц, осуществляющих уход за пациентами, законных представителей пациентов) о состоянии здоровья пациентов, поступающие непосредственно от пациентов или третьих лиц без интерпретации этих сообщений мед</w:t>
      </w:r>
      <w:r>
        <w:rPr>
          <w:rStyle w:val="s0"/>
        </w:rPr>
        <w:t>ицинскими работниками или иными лицами;</w:t>
      </w:r>
    </w:p>
    <w:p w:rsidR="00000000" w:rsidRDefault="00C46FE7">
      <w:pPr>
        <w:pStyle w:val="pj"/>
      </w:pPr>
      <w:r>
        <w:rPr>
          <w:rStyle w:val="s0"/>
        </w:rPr>
        <w:t>«данные реальной клинической практики» - данные, относящиеся к состоянию здоровья пациента и (или) к процессу оказания медицинской помощи, полученные из различных источников;</w:t>
      </w:r>
    </w:p>
    <w:p w:rsidR="00000000" w:rsidRDefault="00C46FE7">
      <w:pPr>
        <w:pStyle w:val="pj"/>
      </w:pPr>
      <w:r>
        <w:rPr>
          <w:rStyle w:val="s0"/>
        </w:rPr>
        <w:t>«доказательства, полученные на основе дан</w:t>
      </w:r>
      <w:r>
        <w:rPr>
          <w:rStyle w:val="s0"/>
        </w:rPr>
        <w:t>ных реальной клинической практики» - клинические доказательства в отношении применения и потенциальной пользы или риска применения лекарственного препарата, полученные на основе сбора и анализа данных реальной клинической практики.</w:t>
      </w:r>
    </w:p>
    <w:p w:rsidR="00000000" w:rsidRDefault="00C46FE7">
      <w:pPr>
        <w:pStyle w:val="pj"/>
      </w:pPr>
      <w:r>
        <w:rPr>
          <w:rStyle w:val="s0"/>
        </w:rPr>
        <w:t>Понятие «неинтервенционн</w:t>
      </w:r>
      <w:r>
        <w:rPr>
          <w:rStyle w:val="s0"/>
        </w:rPr>
        <w:t>ое исследование», используемое в настоящих Общих подходах, применяется в значении, определенном в Правилах надлежащей клинической практики Евразийского экономического союза и Правилах надлежащей практики фармаконадзора Евразийского экономического союза.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III. Правовые основы применения процедур сбора, анализа и</w:t>
      </w:r>
      <w:r>
        <w:rPr>
          <w:rStyle w:val="s1"/>
        </w:rPr>
        <w:br/>
        <w:t>использования данных реальной клинической практики в Союзе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 xml:space="preserve">5. </w:t>
      </w:r>
      <w:hyperlink r:id="rId21" w:history="1">
        <w:r>
          <w:rPr>
            <w:rStyle w:val="a4"/>
          </w:rPr>
          <w:t>Решением</w:t>
        </w:r>
      </w:hyperlink>
      <w:r>
        <w:rPr>
          <w:rStyle w:val="s0"/>
        </w:rPr>
        <w:t xml:space="preserve"> Совета Евразийской экономической комиссии от 17 марта 2022</w:t>
      </w:r>
      <w:r>
        <w:rPr>
          <w:rStyle w:val="s0"/>
        </w:rPr>
        <w:t xml:space="preserve"> г. № 36 «О внесении изменений в Правила регистрации и экспертизы лекарственных средств для медицинского применения» в праве Союза закреплены определения понятий «данные реальной клинической практики» и «доказательства, полученные на основе данных реальной</w:t>
      </w:r>
      <w:r>
        <w:rPr>
          <w:rStyle w:val="s0"/>
        </w:rPr>
        <w:t xml:space="preserve"> клинической практики». Положения о проведении пострегистрационных клинических исследований содержатся в Правилах надлежащей практики фармаконадзора Евразийского экономического союза, согласно которым «пострегистрационное исследование безопасности - исслед</w:t>
      </w:r>
      <w:r>
        <w:rPr>
          <w:rStyle w:val="s0"/>
        </w:rPr>
        <w:t>ование, имеющее отношение к зарегистрированному лекарственному препарату, проведенное с целью определения, характеристики или количественной оценки угрозы безопасности, подтверждения профиля безопасности лекарственного препарата или оценки эффективности ме</w:t>
      </w:r>
      <w:r>
        <w:rPr>
          <w:rStyle w:val="s0"/>
        </w:rPr>
        <w:t>р по управлению рисками. Пострегистрационное исследование безопасности может быть интервенционным исследованием или может проводиться как исследование наблюдательного неинтервенционного дизайна, в том числе с использованием данных реальной клинической прак</w:t>
      </w:r>
      <w:r>
        <w:rPr>
          <w:rStyle w:val="s0"/>
        </w:rPr>
        <w:t>тики».</w:t>
      </w:r>
    </w:p>
    <w:p w:rsidR="00000000" w:rsidRDefault="00C46FE7">
      <w:pPr>
        <w:pStyle w:val="pj"/>
      </w:pPr>
      <w:r>
        <w:rPr>
          <w:rStyle w:val="s0"/>
        </w:rPr>
        <w:t>Таким образом, в рамках Союза развивается регуляторный путь для использования данных реальной клинической практики в целях регистрации лекарственных препаратов и осуществления фармаконадзора.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IV. Принципы реализации общих подходов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6. Реализаци</w:t>
      </w:r>
      <w:r>
        <w:rPr>
          <w:rStyle w:val="s0"/>
        </w:rPr>
        <w:t>я настоящих Общих подходов основана на следующих принципах:</w:t>
      </w:r>
    </w:p>
    <w:p w:rsidR="00000000" w:rsidRDefault="00C46FE7">
      <w:pPr>
        <w:pStyle w:val="pj"/>
      </w:pPr>
      <w:r>
        <w:rPr>
          <w:rStyle w:val="s0"/>
        </w:rPr>
        <w:t>совершенствование права Союза в сфере регулирования сбора, анализа и использования данных реальной клинической практики;</w:t>
      </w:r>
    </w:p>
    <w:p w:rsidR="00000000" w:rsidRDefault="00C46FE7">
      <w:pPr>
        <w:pStyle w:val="pj"/>
      </w:pPr>
      <w:r>
        <w:rPr>
          <w:rStyle w:val="s0"/>
        </w:rPr>
        <w:t>обеспечение соответствия разрабатываемых проектов актов органов Союза в сфе</w:t>
      </w:r>
      <w:r>
        <w:rPr>
          <w:rStyle w:val="s0"/>
        </w:rPr>
        <w:t>ре регулирования сбора, анализа и использования данных реальной клинической практики лучшим международным практикам и подходам;</w:t>
      </w:r>
    </w:p>
    <w:p w:rsidR="00000000" w:rsidRDefault="00C46FE7">
      <w:pPr>
        <w:pStyle w:val="pj"/>
      </w:pPr>
      <w:r>
        <w:rPr>
          <w:rStyle w:val="s0"/>
        </w:rPr>
        <w:t>единство указаний по обеспечению достоверности данных реальной клинической практики, получаемых из различных источников, в целях</w:t>
      </w:r>
      <w:r>
        <w:rPr>
          <w:rStyle w:val="s0"/>
        </w:rPr>
        <w:t xml:space="preserve"> трансформации таких данных в клинические доказательства;</w:t>
      </w:r>
    </w:p>
    <w:p w:rsidR="00000000" w:rsidRDefault="00C46FE7">
      <w:pPr>
        <w:pStyle w:val="pj"/>
      </w:pPr>
      <w:r>
        <w:rPr>
          <w:rStyle w:val="s0"/>
        </w:rPr>
        <w:t>реализация потенциала научно-технологических платформ сбора и анализа данных реальной клинической практики в государствах-членах.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V. Ожидаемые итоги реализации Общих подходов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 xml:space="preserve">7. Итогом реализации Общих подходов является возможность обеспечения правовых инструментов и создания фактических условий для сбора, анализа и использования данных реальной клинической практики для решений, принимаемых уполномоченным органами (экспертными </w:t>
      </w:r>
      <w:r>
        <w:rPr>
          <w:rStyle w:val="s0"/>
        </w:rPr>
        <w:t>организациями) в сфере обращения лекарственных средств на уровне государств-членов.</w:t>
      </w:r>
    </w:p>
    <w:p w:rsidR="00000000" w:rsidRDefault="00C46FE7">
      <w:pPr>
        <w:pStyle w:val="pj"/>
      </w:pPr>
      <w:r>
        <w:rPr>
          <w:rStyle w:val="s0"/>
        </w:rPr>
        <w:t>8. Указанный итог реализации достигается путем совершенствования права Союза по вопросам обеспечения сбора, анализа и использования данных реальной клинической практики (полученных с использованием обезличенных данных из медицинских карт, электронных карт,</w:t>
      </w:r>
      <w:r>
        <w:rPr>
          <w:rStyle w:val="s0"/>
        </w:rPr>
        <w:t xml:space="preserve"> регистров пациентов, данных, сгенерированных устройствами и мобильными приложениями, и др.) в целях использования их при:</w:t>
      </w:r>
    </w:p>
    <w:p w:rsidR="00000000" w:rsidRDefault="00C46FE7">
      <w:pPr>
        <w:pStyle w:val="pj"/>
      </w:pPr>
      <w:r>
        <w:rPr>
          <w:rStyle w:val="s0"/>
        </w:rPr>
        <w:t>выполнении регистрационных процедур лекарственных препаратов в соответствии с правом Союза;</w:t>
      </w:r>
    </w:p>
    <w:p w:rsidR="00000000" w:rsidRDefault="00C46FE7">
      <w:pPr>
        <w:pStyle w:val="pj"/>
      </w:pPr>
      <w:r>
        <w:rPr>
          <w:rStyle w:val="s0"/>
        </w:rPr>
        <w:t>приведении регистрационного досье лекарст</w:t>
      </w:r>
      <w:r>
        <w:rPr>
          <w:rStyle w:val="s0"/>
        </w:rPr>
        <w:t>венного препарата, зарегистрированного по национальной процедуре в государствах-членах, в соответствие с Правилами регистрации и экспертизы лекарственных средств для медицинского применения;</w:t>
      </w:r>
    </w:p>
    <w:p w:rsidR="00000000" w:rsidRDefault="00C46FE7">
      <w:pPr>
        <w:pStyle w:val="pj"/>
      </w:pPr>
      <w:r>
        <w:rPr>
          <w:rStyle w:val="s0"/>
        </w:rPr>
        <w:t>внесении изменений в регистрационное досье зарегистрированного ле</w:t>
      </w:r>
      <w:r>
        <w:rPr>
          <w:rStyle w:val="s0"/>
        </w:rPr>
        <w:t>карственного препарата;</w:t>
      </w:r>
    </w:p>
    <w:p w:rsidR="00000000" w:rsidRDefault="00C46FE7">
      <w:pPr>
        <w:pStyle w:val="pj"/>
      </w:pPr>
      <w:r>
        <w:rPr>
          <w:rStyle w:val="s0"/>
        </w:rPr>
        <w:t>проведении пострегистрационных исследований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осуществлении фармаконадзора.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 xml:space="preserve">VI. Источники получения данных </w:t>
      </w:r>
      <w:r>
        <w:rPr>
          <w:rStyle w:val="s1"/>
        </w:rPr>
        <w:br/>
        <w:t>реальной клинической практики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9. При проведении исследований в условиях реальной клинической п</w:t>
      </w:r>
      <w:r>
        <w:rPr>
          <w:rStyle w:val="s0"/>
        </w:rPr>
        <w:t>рактики, а также использования данных реальной клинической практики в целях, предусмотренных актами органов Союза в сфере обращения лекарственных средств в отношении выбора в качестве источников получения обезличенных данных из регистров, компьютеризирован</w:t>
      </w:r>
      <w:r>
        <w:rPr>
          <w:rStyle w:val="s0"/>
        </w:rPr>
        <w:t>ных систем и прочих источников данных целесообразно рассмотреть применение следующих общих подходов.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>1. Регистры и компьютеризированные базы данных на основе регистров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10. Регистры являются источником получения данных реальной клинической практики. Р</w:t>
      </w:r>
      <w:r>
        <w:rPr>
          <w:rStyle w:val="s0"/>
        </w:rPr>
        <w:t>егистры обычно определяются либо диагнозом заболевания (регистр пациентов по нозологиям), либо регистрацией воздействия, например, применением лекарственного препарата (лекарственный регистр).</w:t>
      </w:r>
    </w:p>
    <w:p w:rsidR="00000000" w:rsidRDefault="00C46FE7">
      <w:pPr>
        <w:pStyle w:val="pj"/>
      </w:pPr>
      <w:r>
        <w:rPr>
          <w:rStyle w:val="s0"/>
        </w:rPr>
        <w:t>11. При использовании данных из регистров пациентов, помимо общ</w:t>
      </w:r>
      <w:r>
        <w:rPr>
          <w:rStyle w:val="s0"/>
        </w:rPr>
        <w:t>их подходов к обеспечению целостности данных в соответствии с Руководством по обеспечению целостности данных и валидации компьютеризированных систем (</w:t>
      </w:r>
      <w:hyperlink r:id="rId22" w:anchor="sub_id=100" w:history="1">
        <w:r>
          <w:rPr>
            <w:rStyle w:val="a4"/>
          </w:rPr>
          <w:t>приложение</w:t>
        </w:r>
      </w:hyperlink>
      <w:r>
        <w:rPr>
          <w:rStyle w:val="s0"/>
        </w:rPr>
        <w:t xml:space="preserve"> к Рекомендации</w:t>
      </w:r>
      <w:r>
        <w:rPr>
          <w:rStyle w:val="s0"/>
        </w:rPr>
        <w:t xml:space="preserve"> Коллегии Евразийской экономической комиссии от 19 сентября 2023 г. № 25) следует рассмотреть:</w:t>
      </w:r>
    </w:p>
    <w:p w:rsidR="00000000" w:rsidRDefault="00C46FE7">
      <w:pPr>
        <w:pStyle w:val="pj"/>
      </w:pPr>
      <w:r>
        <w:rPr>
          <w:rStyle w:val="s0"/>
        </w:rPr>
        <w:t>указание источника получения данных в регистре (медицинские информационные системы, лабораторные информационные системы, электронные медицинские карты, другие пр</w:t>
      </w:r>
      <w:r>
        <w:rPr>
          <w:rStyle w:val="s0"/>
        </w:rPr>
        <w:t>ограммные продукты, прямой ввод данных пациентом или медицинским работником, получение через интеграцию со сторонними системами и др.);</w:t>
      </w:r>
    </w:p>
    <w:p w:rsidR="00000000" w:rsidRDefault="00C46FE7">
      <w:pPr>
        <w:pStyle w:val="pj"/>
      </w:pPr>
      <w:r>
        <w:rPr>
          <w:rStyle w:val="s0"/>
        </w:rPr>
        <w:t>наличие в доступе пользователя сведений об объеме регистра (количество всех включенных пациентов);</w:t>
      </w:r>
    </w:p>
    <w:p w:rsidR="00000000" w:rsidRDefault="00C46FE7">
      <w:pPr>
        <w:pStyle w:val="pj"/>
      </w:pPr>
      <w:r>
        <w:rPr>
          <w:rStyle w:val="s0"/>
        </w:rPr>
        <w:t>наличие в доступе пол</w:t>
      </w:r>
      <w:r>
        <w:rPr>
          <w:rStyle w:val="s0"/>
        </w:rPr>
        <w:t>ьзователя сведений о количестве пациентов в выборке, на основании которой проводится исследование реальной клинической практики;</w:t>
      </w:r>
    </w:p>
    <w:p w:rsidR="00000000" w:rsidRDefault="00C46FE7">
      <w:pPr>
        <w:pStyle w:val="pj"/>
      </w:pPr>
      <w:r>
        <w:rPr>
          <w:rStyle w:val="s0"/>
        </w:rPr>
        <w:t>наличие для всех полей регистра технической аннотации и обоснования выбора отдельных показателей, включенных в исследование;</w:t>
      </w:r>
    </w:p>
    <w:p w:rsidR="00000000" w:rsidRDefault="00C46FE7">
      <w:pPr>
        <w:pStyle w:val="pj"/>
      </w:pPr>
      <w:r>
        <w:rPr>
          <w:rStyle w:val="s0"/>
        </w:rPr>
        <w:t>на</w:t>
      </w:r>
      <w:r>
        <w:rPr>
          <w:rStyle w:val="s0"/>
        </w:rPr>
        <w:t>личие сведений о проводимых периодических или иных проверках качества ведения регистра, качества и корректности данных, содержащихся в регистре (выполняемых держателем регистра);</w:t>
      </w:r>
    </w:p>
    <w:p w:rsidR="00000000" w:rsidRDefault="00C46FE7">
      <w:pPr>
        <w:pStyle w:val="pj"/>
      </w:pPr>
      <w:r>
        <w:rPr>
          <w:rStyle w:val="s0"/>
        </w:rPr>
        <w:t>наличие правил форматно-логического контроля в регистре;</w:t>
      </w:r>
    </w:p>
    <w:p w:rsidR="00000000" w:rsidRDefault="00C46FE7">
      <w:pPr>
        <w:pStyle w:val="pj"/>
      </w:pPr>
      <w:r>
        <w:rPr>
          <w:rStyle w:val="s0"/>
        </w:rPr>
        <w:t>наличие иных проверо</w:t>
      </w:r>
      <w:r>
        <w:rPr>
          <w:rStyle w:val="s0"/>
        </w:rPr>
        <w:t>чных правил, предусмотренных держателем регистра, сведений о других проверочных и контрольных мероприятиях, целью которых является проверка корректности данных из регистра.</w:t>
      </w:r>
    </w:p>
    <w:p w:rsidR="00000000" w:rsidRDefault="00C46FE7">
      <w:pPr>
        <w:pStyle w:val="pj"/>
      </w:pPr>
      <w:r>
        <w:rPr>
          <w:rStyle w:val="s0"/>
        </w:rPr>
        <w:t>12. Оператору (администратору) регистра пациентов в случае, если результаты исследо</w:t>
      </w:r>
      <w:r>
        <w:rPr>
          <w:rStyle w:val="s0"/>
        </w:rPr>
        <w:t>ваний реальной клинической практики используются при принятии регуляторных решений, следует представить уполномоченному органу государства-члена информацию, характеризующую источники получения данных в регистре, качество ведения такого регистра, валидность</w:t>
      </w:r>
      <w:r>
        <w:rPr>
          <w:rStyle w:val="s0"/>
        </w:rPr>
        <w:t xml:space="preserve"> данных, или мотивированный отказ в ее представлении.</w:t>
      </w:r>
    </w:p>
    <w:p w:rsidR="00000000" w:rsidRDefault="00C46FE7">
      <w:pPr>
        <w:pStyle w:val="pj"/>
      </w:pPr>
      <w:r>
        <w:rPr>
          <w:rStyle w:val="s0"/>
        </w:rPr>
        <w:t>13. Регистры могут служить инструментом, как для сбора и накопления существующей информации, так и для регистрации новых данных. Сведения о валидации программного обеспечения, ее интеграционных механизм</w:t>
      </w:r>
      <w:r>
        <w:rPr>
          <w:rStyle w:val="s0"/>
        </w:rPr>
        <w:t>ов и наличии поддерживаемой системы управления качеством у держателя регистра и производителя программного обеспечения, а также регистрация держателя регистра и программного продукта в соответствии с законодательством государств-членов являются преимуществ</w:t>
      </w:r>
      <w:r>
        <w:rPr>
          <w:rStyle w:val="s0"/>
        </w:rPr>
        <w:t>ом при выборе технической платформы.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2. Данные о случаях оказания медицинской помощи пациентам,</w:t>
      </w:r>
      <w:r>
        <w:rPr>
          <w:rStyle w:val="s1"/>
        </w:rPr>
        <w:br/>
        <w:t>полученные от страховых медицинских организаций и фондов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14. Сведения о случаях оказания медицинской помощи, а также иные сведения, содержащиеся в реестрах страховых медицинских организаций, фондов любых форм собственности, могут быть использованы в качестве источника получения данных реальной клинической практи</w:t>
      </w:r>
      <w:r>
        <w:rPr>
          <w:rStyle w:val="s0"/>
        </w:rPr>
        <w:t>ки.</w:t>
      </w:r>
    </w:p>
    <w:p w:rsidR="00000000" w:rsidRDefault="00C46FE7">
      <w:pPr>
        <w:pStyle w:val="pj"/>
      </w:pPr>
      <w:r>
        <w:rPr>
          <w:rStyle w:val="s0"/>
        </w:rPr>
        <w:t>15. При использовании таких сведений следует указать источник данных, правила форматно-логического контроля, иные правила и методы проверки корректности данных.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 xml:space="preserve">3. Данные из электронных медицинских карт </w:t>
      </w:r>
      <w:r>
        <w:rPr>
          <w:rStyle w:val="s1"/>
        </w:rPr>
        <w:br/>
        <w:t>и интегрированных электронных медицинских ка</w:t>
      </w:r>
      <w:r>
        <w:rPr>
          <w:rStyle w:val="s1"/>
        </w:rPr>
        <w:t>рт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16. Внедрение систем ведения электронных медицинских карт (ЭМК) и интегрированных электронных медицинских карт (ИЭМК) приводит к тому, что в соответствующих базах данных накапливаются достаточно подробные и ценные сведения о врачебных осмотрах, резуль</w:t>
      </w:r>
      <w:r>
        <w:rPr>
          <w:rStyle w:val="s0"/>
        </w:rPr>
        <w:t>татах обследования, лечении пациентов, в том числе данные о лекарственной терапии. На основании обезличенных данных из ЭМК допускается создавать наборы данных, характеризующих применение тех или иных лекарственных препаратов, изучать их безопасность и эффе</w:t>
      </w:r>
      <w:r>
        <w:rPr>
          <w:rStyle w:val="s0"/>
        </w:rPr>
        <w:t>ктивность в реальной клинической практике, в том числе оценивать отдаленные клинические результаты.</w:t>
      </w:r>
    </w:p>
    <w:p w:rsidR="00000000" w:rsidRDefault="00C46FE7">
      <w:pPr>
        <w:pStyle w:val="pj"/>
      </w:pPr>
      <w:r>
        <w:rPr>
          <w:rStyle w:val="s0"/>
        </w:rPr>
        <w:t>4. Данные, получаемые с использованием носимых устройств</w:t>
      </w:r>
    </w:p>
    <w:p w:rsidR="00000000" w:rsidRDefault="00C46FE7">
      <w:pPr>
        <w:pStyle w:val="pj"/>
      </w:pPr>
      <w:r>
        <w:rPr>
          <w:rStyle w:val="s0"/>
        </w:rPr>
        <w:t>17. Сбор данных с использованием носимых устройств, предназначенных для повседневного применения па</w:t>
      </w:r>
      <w:r>
        <w:rPr>
          <w:rStyle w:val="s0"/>
        </w:rPr>
        <w:t>циентами в домашних условиях вместе с объединением их с системами ведения ЭМК позволяет получить ценную клиническую информацию об эффективности лекарственной терапии.</w:t>
      </w:r>
    </w:p>
    <w:p w:rsidR="00000000" w:rsidRDefault="00C46FE7">
      <w:pPr>
        <w:pStyle w:val="pj"/>
      </w:pPr>
      <w:r>
        <w:rPr>
          <w:rStyle w:val="s0"/>
        </w:rPr>
        <w:t>18. Интернет-устройства, которые представляют собой сеть подключенных к интернету устройс</w:t>
      </w:r>
      <w:r>
        <w:rPr>
          <w:rStyle w:val="s0"/>
        </w:rPr>
        <w:t>тв, обладающих уникальными идентификационными номерами и IP-адресами, способные автоматически подключаться к интернету и друг к другу с помощью проводного или беспроводного доступа для обмена данными, мониторинга, корректировки работы, отслеживания состоян</w:t>
      </w:r>
      <w:r>
        <w:rPr>
          <w:rStyle w:val="s0"/>
        </w:rPr>
        <w:t>ия организма человека и окружающей его среды, включая устройства, способные интерактивно влиять на профилактический, лечебный и реабилитационный процессы, помогать предоставлять помощь пациенту удаленно и собирать данные о пациенте для последующего анализа</w:t>
      </w:r>
      <w:r>
        <w:rPr>
          <w:rStyle w:val="s0"/>
        </w:rPr>
        <w:t>.</w:t>
      </w:r>
    </w:p>
    <w:p w:rsidR="00000000" w:rsidRDefault="00C46FE7">
      <w:pPr>
        <w:pStyle w:val="pj"/>
      </w:pPr>
      <w:r>
        <w:rPr>
          <w:rStyle w:val="s0"/>
        </w:rPr>
        <w:t>19. При использовании данных, полученных с использованием электронных устройств пациентов, следует указать:</w:t>
      </w:r>
    </w:p>
    <w:p w:rsidR="00000000" w:rsidRDefault="00C46FE7">
      <w:pPr>
        <w:pStyle w:val="pj"/>
      </w:pPr>
      <w:r>
        <w:rPr>
          <w:rStyle w:val="s0"/>
        </w:rPr>
        <w:t>источник данных (например, автоматические измерения, осуществляемые электронными устройствами, или данные, вносимые пациентом самостоятельно) с це</w:t>
      </w:r>
      <w:r>
        <w:rPr>
          <w:rStyle w:val="s0"/>
        </w:rPr>
        <w:t>лью определения вероятности возникновения потенциальных ошибок и (или) неточностей при внесении данных;</w:t>
      </w:r>
    </w:p>
    <w:p w:rsidR="00000000" w:rsidRDefault="00C46FE7">
      <w:pPr>
        <w:pStyle w:val="pj"/>
      </w:pPr>
      <w:r>
        <w:rPr>
          <w:rStyle w:val="s0"/>
        </w:rPr>
        <w:t>принадлежность устройства и полученных с его помощью данных конкретному пациенту (пользователю) (в соответствии с законодательством государств-членов в сфере охраны персональных данных);</w:t>
      </w:r>
    </w:p>
    <w:p w:rsidR="00000000" w:rsidRDefault="00C46FE7">
      <w:pPr>
        <w:pStyle w:val="pj"/>
      </w:pPr>
      <w:r>
        <w:rPr>
          <w:rStyle w:val="s0"/>
        </w:rPr>
        <w:t>возможность или невозможность передачи (перехода) устройств иному лиц</w:t>
      </w:r>
      <w:r>
        <w:rPr>
          <w:rStyle w:val="s0"/>
        </w:rPr>
        <w:t>у (пациенту) с целью недопущения появления неверных данных, протоколы проверки соблюдения этого принципа, а также сведения о мероприятиях, направленных на предотвращение таких проявлений.</w:t>
      </w:r>
    </w:p>
    <w:p w:rsidR="00000000" w:rsidRDefault="00C46FE7">
      <w:pPr>
        <w:pStyle w:val="pj"/>
      </w:pPr>
      <w:r>
        <w:rPr>
          <w:rStyle w:val="s0"/>
        </w:rPr>
        <w:t>20. В целях обеспечения достоверности данных, получаемых с использов</w:t>
      </w:r>
      <w:r>
        <w:rPr>
          <w:rStyle w:val="s0"/>
        </w:rPr>
        <w:t>анием носимых устройств, следует рассмотреть проведение предварительного инструктажа пациента со стороны медицинского работника о правилах использования устройства, включая порядок его крепления на теле пациента, выбор режима работы, настройку и регулировк</w:t>
      </w:r>
      <w:r>
        <w:rPr>
          <w:rStyle w:val="s0"/>
        </w:rPr>
        <w:t>у, обслуживание устройств. В случае если используется устройство, зарегистрированное как медицинское изделие, валидность получаемых с него данных, как правило, выше, поэтому данный фактор следует учитывать отдельно.</w:t>
      </w:r>
    </w:p>
    <w:p w:rsidR="00000000" w:rsidRDefault="00C46FE7">
      <w:pPr>
        <w:pStyle w:val="pj"/>
      </w:pPr>
      <w:r>
        <w:rPr>
          <w:rStyle w:val="s0"/>
        </w:rPr>
        <w:t>21. Следует учесть, что в случае внесени</w:t>
      </w:r>
      <w:r>
        <w:rPr>
          <w:rStyle w:val="s0"/>
        </w:rPr>
        <w:t>я данных пациентом самостоятельно, инструктаж должен включать в себя пошаговое описание последовательности действий пациента при получении данных (процедуры самоконтроля (самодиагностики)) и фиксации результатов с использованием устройств.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5. Анкетиров</w:t>
      </w:r>
      <w:r>
        <w:rPr>
          <w:rStyle w:val="s1"/>
        </w:rPr>
        <w:t xml:space="preserve">ание о состоянии здоровья и данные </w:t>
      </w:r>
      <w:r>
        <w:rPr>
          <w:rStyle w:val="s1"/>
        </w:rPr>
        <w:br/>
        <w:t>об исходах, сообщаемые пациентами (patient reported outcomes, PRO)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22. Анкетирование предназначено для сбора информации о состоянии здоровья и благополучии пациента, особенностях оказания медицинской помощи, о применим</w:t>
      </w:r>
      <w:r>
        <w:rPr>
          <w:rStyle w:val="s0"/>
        </w:rPr>
        <w:t>ых схемах лечения и расходах, понесенных пациентом, медицинской организацией или системой здравоохранения в целом.</w:t>
      </w:r>
    </w:p>
    <w:p w:rsidR="00000000" w:rsidRDefault="00C46FE7">
      <w:pPr>
        <w:pStyle w:val="pj"/>
      </w:pPr>
      <w:r>
        <w:rPr>
          <w:rStyle w:val="s0"/>
        </w:rPr>
        <w:t>Соответствующие исследования являются методологически строгими, со сложными структурами выборки, с применением методов качественного и количе</w:t>
      </w:r>
      <w:r>
        <w:rPr>
          <w:rStyle w:val="s0"/>
        </w:rPr>
        <w:t>ственного анализа.</w:t>
      </w:r>
    </w:p>
    <w:p w:rsidR="00000000" w:rsidRDefault="00C46FE7">
      <w:pPr>
        <w:pStyle w:val="pj"/>
      </w:pPr>
      <w:r>
        <w:rPr>
          <w:rStyle w:val="s0"/>
        </w:rPr>
        <w:t>23. Качественные методы исследования (экспертные интервью, глубинные интервью, групповые интервью (интервью с фокус-группой), наблюдение, контент-анализ, case-study, холл-тесты и др.) позволяют выявлять тенденции и неизвестные авторам ис</w:t>
      </w:r>
      <w:r>
        <w:rPr>
          <w:rStyle w:val="s0"/>
        </w:rPr>
        <w:t>следований факты, формировать модели экспертного видения, тестировать предложения, услуги, продукты и условия, собирать предложения, формировать цели и содержание последующих количественных исследований, интерпретировать данные количественных исследований.</w:t>
      </w:r>
    </w:p>
    <w:p w:rsidR="00000000" w:rsidRDefault="00C46FE7">
      <w:pPr>
        <w:pStyle w:val="pj"/>
      </w:pPr>
      <w:r>
        <w:rPr>
          <w:rStyle w:val="s0"/>
        </w:rPr>
        <w:t>24. Количественные методы (массовые опросы, контент-анализ, наблюдение и др.) позволяют определять значимость тенденций и факторов, распространенность фактов, зависимость показателей, специфику мнений целевых групп, специфику и факторы преломления ситуаци</w:t>
      </w:r>
      <w:r>
        <w:rPr>
          <w:rStyle w:val="s0"/>
        </w:rPr>
        <w:t>й в субъективном понимании целевых групп. Сравнение данных позволяет с высокой степенью достоверности фиксировать динамику.</w:t>
      </w:r>
    </w:p>
    <w:p w:rsidR="00000000" w:rsidRDefault="00C46FE7">
      <w:pPr>
        <w:pStyle w:val="pj"/>
      </w:pPr>
      <w:r>
        <w:rPr>
          <w:rStyle w:val="s0"/>
        </w:rPr>
        <w:t>25. Исследование мнений пациентов особенно важно, поскольку представляет собой оценку продуктов и услуг их непосредственными получат</w:t>
      </w:r>
      <w:r>
        <w:rPr>
          <w:rStyle w:val="s0"/>
        </w:rPr>
        <w:t>елями. Исследование мнения экспертов важно для оценки ситуации, формирования многостороннего экспертного видения и предложений.</w:t>
      </w:r>
    </w:p>
    <w:p w:rsidR="00000000" w:rsidRDefault="00C46FE7">
      <w:pPr>
        <w:pStyle w:val="pj"/>
      </w:pPr>
      <w:r>
        <w:rPr>
          <w:rStyle w:val="s0"/>
        </w:rPr>
        <w:t xml:space="preserve">26. При использовании данных самонаблюдений пациентов (инструментов PRO) следует указать источник данных (пациент, родственник, </w:t>
      </w:r>
      <w:r>
        <w:rPr>
          <w:rStyle w:val="s0"/>
        </w:rPr>
        <w:t>иное лицо) (в случае использовании формализованных инструментов сбора сведений (анкет, опросных листов, шкал и др.) такие инструменты следует указать в полном объеме в отчете об исследовании), сведения об используемых проверочных и контрольных мероприятиях</w:t>
      </w:r>
      <w:r>
        <w:rPr>
          <w:rStyle w:val="s0"/>
        </w:rPr>
        <w:t>, целью которых является проверка корректности данных. Особую важность представляет валидация инструментов PRO перед их применением. Следует обеспечить возможность использования личных устройств пациентов - смартфонов, персональных компьютеров, планшетов -</w:t>
      </w:r>
      <w:r>
        <w:rPr>
          <w:rStyle w:val="s0"/>
        </w:rPr>
        <w:t xml:space="preserve"> для ввода данных по принципу BYOD (bring your own device). Системы использующие инструменты PRO должны соответствовать законодательству государств-членов и иметь необходимые разрешения для обработки персональных данных участников.</w:t>
      </w:r>
    </w:p>
    <w:p w:rsidR="00000000" w:rsidRDefault="00C46FE7">
      <w:pPr>
        <w:pStyle w:val="pj"/>
      </w:pPr>
      <w:r>
        <w:rPr>
          <w:rStyle w:val="s0"/>
        </w:rPr>
        <w:t>27. Применительно к отде</w:t>
      </w:r>
      <w:r>
        <w:rPr>
          <w:rStyle w:val="s0"/>
        </w:rPr>
        <w:t>льным заболеваниям непосредственно в клинических рекомендациях (международных или национальных) содержатся шкалы оценки, вопросники и другие формализованные инструменты оценки состояния пациента.</w:t>
      </w:r>
    </w:p>
    <w:p w:rsidR="00000000" w:rsidRDefault="00C46FE7">
      <w:pPr>
        <w:pStyle w:val="pj"/>
      </w:pPr>
      <w:r>
        <w:rPr>
          <w:rStyle w:val="s0"/>
        </w:rPr>
        <w:t>28. В ряде случаев анкетирование и опросы пациентов являются</w:t>
      </w:r>
      <w:r>
        <w:rPr>
          <w:rStyle w:val="s0"/>
        </w:rPr>
        <w:t xml:space="preserve"> ключевым источником информации для принятия решений при оказании медицинской помощи или в процессе разработки лекарственных препаратов. Так, одним из основных инструментов оценки эффективности терапии у пациентов с сахарным диабетом, артериальной гипертон</w:t>
      </w:r>
      <w:r>
        <w:rPr>
          <w:rStyle w:val="s0"/>
        </w:rPr>
        <w:t>ией и бронхиальной астмой является анализ данных дневников самоконтроля. При этом для нозологий, требующих фиксации пациентом данных самоконтроля, валидность данных зависит от уровня подготовки пациентов. Повышение качества данных достигается за счет разви</w:t>
      </w:r>
      <w:r>
        <w:rPr>
          <w:rStyle w:val="s0"/>
        </w:rPr>
        <w:t>тия школ пациентов и (или) введения обязательного формализованного инструктажа пациентов медицинскими работниками.</w:t>
      </w:r>
    </w:p>
    <w:p w:rsidR="00000000" w:rsidRDefault="00C46FE7">
      <w:pPr>
        <w:pStyle w:val="pj"/>
      </w:pPr>
      <w:r>
        <w:rPr>
          <w:rStyle w:val="s0"/>
        </w:rPr>
        <w:t xml:space="preserve">Например, </w:t>
      </w:r>
      <w:hyperlink r:id="rId23" w:history="1">
        <w:r>
          <w:rPr>
            <w:rStyle w:val="a4"/>
          </w:rPr>
          <w:t>Руководством</w:t>
        </w:r>
      </w:hyperlink>
      <w:r>
        <w:rPr>
          <w:rStyle w:val="s0"/>
        </w:rPr>
        <w:t xml:space="preserve"> </w:t>
      </w:r>
      <w:r>
        <w:rPr>
          <w:rStyle w:val="s0"/>
        </w:rPr>
        <w:t>по фармацевтической разработке лекарственных средств для применения в педиатрической практике (приложение к Рекомендации Коллегии Евразийской экономической комиссии от 21 декабря 2021 г. № 30) рекомендуется рассмотрение разработчиками лекарственных препара</w:t>
      </w:r>
      <w:r>
        <w:rPr>
          <w:rStyle w:val="s0"/>
        </w:rPr>
        <w:t>тов новых подходов к разработке упаковки и устройств для введения лекарственных препаратов, улучшающих приемлемость лекарственной формы, способствующих соблюдению ребенком предписанного режима терапии и удобству в уходе за ребенком при одновременном снижен</w:t>
      </w:r>
      <w:r>
        <w:rPr>
          <w:rStyle w:val="s0"/>
        </w:rPr>
        <w:t>ии риска случайного употребления. Система упаковки (укупорки) должна позволять отличить лекарственный препарат от кондитерских изделий и игрушек для снижения его привлекательности для детей. Рекомендуется рассмотреть на практике удобство системы упаковки (</w:t>
      </w:r>
      <w:r>
        <w:rPr>
          <w:rStyle w:val="s0"/>
        </w:rPr>
        <w:t>укупорки) и устройства для введения. Проверка соответствия лекарственного препарата указанным критериям с использованием теоретических методов познания невозможна, соответственно, оценка удобства применения лекарственного препарата может быть основана искл</w:t>
      </w:r>
      <w:r>
        <w:rPr>
          <w:rStyle w:val="s0"/>
        </w:rPr>
        <w:t>ючительно на восприятии пациентом, применяющим его в соответствующей форме выпуска.</w:t>
      </w:r>
    </w:p>
    <w:p w:rsidR="00000000" w:rsidRDefault="00C46FE7">
      <w:pPr>
        <w:pStyle w:val="pj"/>
      </w:pPr>
      <w:r>
        <w:rPr>
          <w:rStyle w:val="s0"/>
        </w:rPr>
        <w:t>29. Особую важность представляют валидация инструментов PRO перед их применением, соблюдение прав интеллектуальной собственности, этических норм и законодательства государс</w:t>
      </w:r>
      <w:r>
        <w:rPr>
          <w:rStyle w:val="s0"/>
        </w:rPr>
        <w:t>тва-члена в сфере охраны персональных данных.</w:t>
      </w:r>
    </w:p>
    <w:p w:rsidR="00000000" w:rsidRDefault="00C46FE7">
      <w:pPr>
        <w:pStyle w:val="pj"/>
      </w:pPr>
      <w:r>
        <w:rPr>
          <w:rStyle w:val="s0"/>
        </w:rPr>
        <w:t>Следует рассмотреть обеспечение получения документированного (в том числе в электронном виде) согласия субъекта на сбор, обработку персональных данных, которая включает их деперсонификацию и научный анализ, пре</w:t>
      </w:r>
      <w:r>
        <w:rPr>
          <w:rStyle w:val="s0"/>
        </w:rPr>
        <w:t>доставление доступа третьих лиц к обезличенным данным, а также предусмотреть возможность отзыва такого согласия. При использовании электронных инструментов PRO способы авторизации пользователей следует применять в соответствии с законодательством государст</w:t>
      </w:r>
      <w:r>
        <w:rPr>
          <w:rStyle w:val="s0"/>
        </w:rPr>
        <w:t>в-членов.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 xml:space="preserve">VII. Возможности использования доказательств, полученных на основе </w:t>
      </w:r>
    </w:p>
    <w:p w:rsidR="00000000" w:rsidRDefault="00C46FE7">
      <w:pPr>
        <w:pStyle w:val="pc"/>
      </w:pPr>
      <w:r>
        <w:rPr>
          <w:rStyle w:val="s1"/>
        </w:rPr>
        <w:t xml:space="preserve">данных реальной клинической практики,  для поддержки принятия решений, принимаемых уполномоченными </w:t>
      </w:r>
    </w:p>
    <w:p w:rsidR="00000000" w:rsidRDefault="00C46FE7">
      <w:pPr>
        <w:pStyle w:val="pc"/>
      </w:pPr>
      <w:r>
        <w:rPr>
          <w:rStyle w:val="s1"/>
        </w:rPr>
        <w:t>органами (экспертными организациями) в сфере обращения лекарственных средс</w:t>
      </w:r>
      <w:r>
        <w:rPr>
          <w:rStyle w:val="s1"/>
        </w:rPr>
        <w:t>тв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 xml:space="preserve">1. Использование доказательств, полученных путем анализа </w:t>
      </w:r>
      <w:r>
        <w:rPr>
          <w:rStyle w:val="s1"/>
        </w:rPr>
        <w:br/>
        <w:t>данных реальной клинической практики, для расширения</w:t>
      </w:r>
      <w:r>
        <w:rPr>
          <w:rStyle w:val="s1"/>
        </w:rPr>
        <w:br/>
        <w:t>показаний к применению лекарственных препаратов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 xml:space="preserve">30. В мировой практике имеются примеры, когда доказательства, полученные на основе данных </w:t>
      </w:r>
      <w:r>
        <w:rPr>
          <w:rStyle w:val="s0"/>
        </w:rPr>
        <w:t>реальной клинической практики, используются для обоснования необходимости внесения изменений в информацию о лекарственном препарате. Следует помнить, что данные, полученные на основе реальной клинической практики, могут быть подвергнуты различным видам иск</w:t>
      </w:r>
      <w:r>
        <w:rPr>
          <w:rStyle w:val="s0"/>
        </w:rPr>
        <w:t>ажений, связанным с выборкой пациентов, их особенностями лечения и другими факторами, которые не контролируются так строго, как в условиях рандомизированного контролируемого исследования. Таким образом, прежде чем применять эти данные в регуляторных решени</w:t>
      </w:r>
      <w:r>
        <w:rPr>
          <w:rStyle w:val="s0"/>
        </w:rPr>
        <w:t xml:space="preserve">ях, следует провести тщательный анализ и оценку качества и достоверности представленной информации. Только сбалансированный подход к сочетанию данных из обоих источников позволит достичь наибольшей объективности и эффективности в медицинских исследованиях </w:t>
      </w:r>
      <w:r>
        <w:rPr>
          <w:rStyle w:val="s0"/>
        </w:rPr>
        <w:t>и решениях. В то же время исследование реальной клинической практики не может рассматриваться как абсолютная замена рандомизированному контролируемому исследованию. Использование данных реальной клинической практики в качестве доказательств, позволяющих вы</w:t>
      </w:r>
      <w:r>
        <w:rPr>
          <w:rStyle w:val="s0"/>
        </w:rPr>
        <w:t>явить те или иные клинические тенденции, в качестве помощи в планировании и дополнении рандомизированного контролируемого исследования при рассмотрении заявлений о включении нового показания к применению, о расширении популяционных групп может стать эффект</w:t>
      </w:r>
      <w:r>
        <w:rPr>
          <w:rStyle w:val="s0"/>
        </w:rPr>
        <w:t>ивным инструментом для поддержки принятия регуляторных решений.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2. Использование данных реальной клинической практики</w:t>
      </w:r>
      <w:r>
        <w:rPr>
          <w:rStyle w:val="s1"/>
        </w:rPr>
        <w:br/>
        <w:t>и доказательств, полученных на их основе, в качестве пострегистрационных мер, назначенных при условной</w:t>
      </w:r>
      <w:r>
        <w:rPr>
          <w:rStyle w:val="s1"/>
        </w:rPr>
        <w:br/>
        <w:t>регистрации или регистрации в и</w:t>
      </w:r>
      <w:r>
        <w:rPr>
          <w:rStyle w:val="s1"/>
        </w:rPr>
        <w:t>сключительных случаях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31. Малое количество пациентов, которым показано назначение новых (обычно таргетных) лекарственных препаратов, означает, что проведение рандомизированных контролируемых исследований III фазы занимает продолжительный период времени в</w:t>
      </w:r>
      <w:r>
        <w:rPr>
          <w:rStyle w:val="s0"/>
        </w:rPr>
        <w:t>виду медленного набора субъектов исследования. Это приводит к тому, что потенциально эффективный и безопасный лекарственный препарат длительное время остается недоступным для нуждающихся в нем пациентов. Кроме использования для лечения редких заболеваний и</w:t>
      </w:r>
      <w:r>
        <w:rPr>
          <w:rStyle w:val="s0"/>
        </w:rPr>
        <w:t>ли состояний, для улучшения генерализуемости (внешней валидности) результатов оценки эффективности и безопасности регистрационного рандомизированного контролируемого исследования (ограниченный круг включаемых пациентов) в регистрационное досье, наряду с от</w:t>
      </w:r>
      <w:r>
        <w:rPr>
          <w:rStyle w:val="s0"/>
        </w:rPr>
        <w:t>четами о проведенных клинических исследованиях, могут быть представлены данные простых или прагматичных рандомизированных контролируемых исследований, также относящихся к данным реальной клинической практики.</w:t>
      </w:r>
    </w:p>
    <w:p w:rsidR="00000000" w:rsidRDefault="00C46FE7">
      <w:pPr>
        <w:pStyle w:val="pj"/>
      </w:pPr>
      <w:r>
        <w:rPr>
          <w:rStyle w:val="s0"/>
        </w:rPr>
        <w:t xml:space="preserve">32. Использование доказательств, полученных на </w:t>
      </w:r>
      <w:r>
        <w:rPr>
          <w:rStyle w:val="s0"/>
        </w:rPr>
        <w:t>основе данных реальной клинической практики, имеет высокий потенциал для разработки новых методов лекарственной терапии, сфокусированных на лечении редких, угрожающих жизни человека заболеваний с неудовлетворенной потребностью. В подобных случаях доказател</w:t>
      </w:r>
      <w:r>
        <w:rPr>
          <w:rStyle w:val="s0"/>
        </w:rPr>
        <w:t>ьства, полученные на основе данных реальной клинической практики, могут играть вспомогательную роль в дополнении и конкретизации показаний к применению лекарственного препарата, преимуществ (с точки зрения эффективности) и рисков (с точки зрения безопаснос</w:t>
      </w:r>
      <w:r>
        <w:rPr>
          <w:rStyle w:val="s0"/>
        </w:rPr>
        <w:t>ти) применения при регистрации лекарственного препарата в рамках условной регистрации или регистрации в исключительных случаях. Данные реальной клинической практики могут обогатить клиническое понимание взаимодействия лекарственного препарата у различных г</w:t>
      </w:r>
      <w:r>
        <w:rPr>
          <w:rStyle w:val="s0"/>
        </w:rPr>
        <w:t>рупп пациентов, включая особые подгруппы, такие как пожилые, дети или пациенты с сопутствующими заболеваниями. Это позволит лучше понять, как оптимизировать дозировку, учитывать возможные побочные эффекты и максимально использовать потенциал лекарственного</w:t>
      </w:r>
      <w:r>
        <w:rPr>
          <w:rStyle w:val="s0"/>
        </w:rPr>
        <w:t xml:space="preserve"> препарата. Такой подход может также способствовать разработке индивидуализированных терапевтических стратегий, учитывая уникальные особенности каждого пациента и предоставляя наиболее эффективное и безопасное лечение.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 xml:space="preserve">3. Использование данных реальной </w:t>
      </w:r>
      <w:r>
        <w:rPr>
          <w:rStyle w:val="s1"/>
        </w:rPr>
        <w:t>клинической практики для целей осуществления фармаконадзора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33. Данные реальной клинической практики используются для целей осуществления фармаконадзора. В соответствии с Правилами надлежащей практики фармаконадзора Евразийского экономического союза иссл</w:t>
      </w:r>
      <w:r>
        <w:rPr>
          <w:rStyle w:val="s0"/>
        </w:rPr>
        <w:t>едование реальной клинической практики с позиции фармаконадзора проводится в рамках пострегистрационных клинических исследований (в том числе для внесения изменений в регистрационное досье лекарственного препарата), прежде всего в пострегистрационных иссле</w:t>
      </w:r>
      <w:r>
        <w:rPr>
          <w:rStyle w:val="s0"/>
        </w:rPr>
        <w:t>дованиях безопасности.</w:t>
      </w:r>
    </w:p>
    <w:p w:rsidR="00000000" w:rsidRDefault="00C46FE7">
      <w:pPr>
        <w:pStyle w:val="pj"/>
      </w:pPr>
      <w:r>
        <w:rPr>
          <w:rStyle w:val="s0"/>
        </w:rPr>
        <w:t>34. С точки зрения фармаконадзора допускается также применение таких форм использования данных реальной клинической практики, как исследования, инициируемые исследователями, и программы управляемого доступа (managed access programs).</w:t>
      </w:r>
      <w:r>
        <w:rPr>
          <w:rStyle w:val="s0"/>
        </w:rPr>
        <w:t xml:space="preserve"> Регулирование в данной области не сформировано.</w:t>
      </w:r>
    </w:p>
    <w:p w:rsidR="00000000" w:rsidRDefault="00C46FE7">
      <w:pPr>
        <w:pStyle w:val="pj"/>
      </w:pPr>
      <w:r>
        <w:rPr>
          <w:rStyle w:val="s0"/>
        </w:rPr>
        <w:t>Метод спонтанных сообщений является основным в работе службы фармаконадзора, однако стандартное извещение рассчитано, прежде всего, на медицинских специалистов. С учетом того, что сообщающим лицом может выст</w:t>
      </w:r>
      <w:r>
        <w:rPr>
          <w:rStyle w:val="s0"/>
        </w:rPr>
        <w:t>упать пациент или иное лицо, этот источник информации имеет потенциал для развития в случае разработки простых форматов, удобных для заполнения гражданами.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bookmarkStart w:id="2" w:name="SUB3500"/>
      <w:bookmarkEnd w:id="2"/>
      <w:r>
        <w:rPr>
          <w:rStyle w:val="s1"/>
        </w:rPr>
        <w:t>VIII. Общие подходы к внедрению механизмов сбора, анализа и использования данных реальной клинич</w:t>
      </w:r>
      <w:r>
        <w:rPr>
          <w:rStyle w:val="s1"/>
        </w:rPr>
        <w:t>еской практики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35. В соответствии с актами органов Союза в сфере обращения лекарственных средств допускается использование данных реальной клинической практики как для целей регистрации лекарственных препаратов (в частности, при регистрации с установлением пострегистраци</w:t>
      </w:r>
      <w:r>
        <w:rPr>
          <w:rStyle w:val="s0"/>
        </w:rPr>
        <w:t>онных мер), так и для целей внесения изменений в регистрационное досье лекарственного препарата (в частности, по результатам проведения фармаконадзора). В целях внедрения механизмов сбора, анализа и использования данных реальной клинической практики следуе</w:t>
      </w:r>
      <w:r>
        <w:rPr>
          <w:rStyle w:val="s0"/>
        </w:rPr>
        <w:t>т рассмотреть:</w:t>
      </w:r>
    </w:p>
    <w:p w:rsidR="00000000" w:rsidRDefault="00C46FE7">
      <w:pPr>
        <w:pStyle w:val="pj"/>
      </w:pPr>
      <w:r>
        <w:rPr>
          <w:rStyle w:val="s0"/>
        </w:rPr>
        <w:t>формализацию методологических подходов к получению достоверных клинических доказательств на основе соответствующих данных реальной клинической практики;</w:t>
      </w:r>
    </w:p>
    <w:p w:rsidR="00000000" w:rsidRDefault="00C46FE7">
      <w:pPr>
        <w:pStyle w:val="pj"/>
      </w:pPr>
      <w:r>
        <w:rPr>
          <w:rStyle w:val="s0"/>
        </w:rPr>
        <w:t>урегулирование вопросов доступа заинтересованных сторон к данным реальной клинической пр</w:t>
      </w:r>
      <w:r>
        <w:rPr>
          <w:rStyle w:val="s0"/>
        </w:rPr>
        <w:t>актики;</w:t>
      </w:r>
    </w:p>
    <w:p w:rsidR="00000000" w:rsidRDefault="00C46FE7">
      <w:pPr>
        <w:pStyle w:val="pj"/>
      </w:pPr>
      <w:r>
        <w:rPr>
          <w:rStyle w:val="s0"/>
        </w:rPr>
        <w:t>регламентирование использования данных реальной клинической практики;</w:t>
      </w:r>
    </w:p>
    <w:p w:rsidR="00000000" w:rsidRDefault="00C46FE7">
      <w:pPr>
        <w:pStyle w:val="pj"/>
      </w:pPr>
      <w:r>
        <w:rPr>
          <w:rStyle w:val="s0"/>
        </w:rPr>
        <w:t>рассмотрение подходов к оценке приемлемости источников данных реальной клинической практики.</w:t>
      </w:r>
    </w:p>
    <w:p w:rsidR="00000000" w:rsidRDefault="00C46FE7">
      <w:pPr>
        <w:pStyle w:val="pj"/>
      </w:pPr>
      <w:r>
        <w:rPr>
          <w:rStyle w:val="s0"/>
        </w:rPr>
        <w:t xml:space="preserve">36. Законодательство отдельных государств-членов союза может предусматривать наличие </w:t>
      </w:r>
      <w:r>
        <w:rPr>
          <w:rStyle w:val="s0"/>
        </w:rPr>
        <w:t xml:space="preserve">требования собирать, передавать, хранить и обрабатывать данные медицинских исследований только на территории данного государства-члена. Даже при условии ратификации такими государствами-членами международной конвенции о персональных данных, трансграничная </w:t>
      </w:r>
      <w:r>
        <w:rPr>
          <w:rStyle w:val="s0"/>
        </w:rPr>
        <w:t>их передача не приветствуется. Данные ограничения следует принимать во внимание при организации международных исследований реальной клинической практики или гибридных исследований, а также мета-анализов.</w:t>
      </w:r>
    </w:p>
    <w:p w:rsidR="00000000" w:rsidRDefault="00C46FE7">
      <w:pPr>
        <w:pStyle w:val="pj"/>
      </w:pPr>
      <w:r>
        <w:rPr>
          <w:rStyle w:val="s0"/>
        </w:rPr>
        <w:t>37. В целях оптимизации использования инструментов р</w:t>
      </w:r>
      <w:r>
        <w:rPr>
          <w:rStyle w:val="s0"/>
        </w:rPr>
        <w:t>еальной клинической практики, целесообразно рассмотреть детализированные подходы к сбору и использованию данных реальной клинической практики для внесения изменений в регистрационное досье (например, в части внесения нового показания к применению лекарстве</w:t>
      </w:r>
      <w:r>
        <w:rPr>
          <w:rStyle w:val="s0"/>
        </w:rPr>
        <w:t>нного препарата или расширения групп пациентов, для которых возможно применение, включая оценку того, являются ли представленные данные релевантными и надежными для заявленных целей).</w:t>
      </w:r>
    </w:p>
    <w:p w:rsidR="00000000" w:rsidRDefault="00C46FE7">
      <w:pPr>
        <w:pStyle w:val="pj"/>
      </w:pPr>
      <w:r>
        <w:rPr>
          <w:rStyle w:val="s0"/>
        </w:rPr>
        <w:t xml:space="preserve">38. В целях развития цифровых технологий и цифровизации в сфере сбора и </w:t>
      </w:r>
      <w:r>
        <w:rPr>
          <w:rStyle w:val="s0"/>
        </w:rPr>
        <w:t>использования данных реальной клинической практики следует рассмотреть выработку общих подходов к минимизации риска:</w:t>
      </w:r>
    </w:p>
    <w:p w:rsidR="00000000" w:rsidRDefault="00C46FE7">
      <w:pPr>
        <w:pStyle w:val="pj"/>
      </w:pPr>
      <w:r>
        <w:rPr>
          <w:rStyle w:val="s0"/>
        </w:rPr>
        <w:t>несовместимости форматов используемых данных реальной клинической практики с учетом исходного разнообразия их источников;</w:t>
      </w:r>
    </w:p>
    <w:p w:rsidR="00000000" w:rsidRDefault="00C46FE7">
      <w:pPr>
        <w:pStyle w:val="pj"/>
      </w:pPr>
      <w:r>
        <w:rPr>
          <w:rStyle w:val="s0"/>
        </w:rPr>
        <w:t>различий в исходн</w:t>
      </w:r>
      <w:r>
        <w:rPr>
          <w:rStyle w:val="s0"/>
        </w:rPr>
        <w:t>ых данных, собранных на разных уровнях с использованием различных стандартов, терминологии и форматов обмена для представления одних и тех же или аналогичных элементов данных;</w:t>
      </w:r>
    </w:p>
    <w:p w:rsidR="00000000" w:rsidRDefault="00C46FE7">
      <w:pPr>
        <w:pStyle w:val="pj"/>
      </w:pPr>
      <w:r>
        <w:rPr>
          <w:rStyle w:val="s0"/>
        </w:rPr>
        <w:t xml:space="preserve">несовместимости наборов данных, предназначенных для формирования агрегированных </w:t>
      </w:r>
      <w:r>
        <w:rPr>
          <w:rStyle w:val="s0"/>
        </w:rPr>
        <w:t>данных, с учетом широкого спектра методов и алгоритмов, используемых для их создания.</w:t>
      </w:r>
    </w:p>
    <w:p w:rsidR="00000000" w:rsidRDefault="00C46FE7">
      <w:pPr>
        <w:pStyle w:val="pj"/>
      </w:pPr>
      <w:r>
        <w:rPr>
          <w:rStyle w:val="s0"/>
        </w:rPr>
        <w:t>Следует выработать общие подходы к работе с информационными системами, в которых осуществляется учет медицинских данных, и работе с технологиями обработки таких данных дл</w:t>
      </w:r>
      <w:r>
        <w:rPr>
          <w:rStyle w:val="s0"/>
        </w:rPr>
        <w:t>я целей проведения исследований реальной клинической практики при участи заинтересованных уполномоченных органов (экспертных организаций) государств-членов, профессиональных медицинских и научных сообществ государств-членов, технологических компаний и прои</w:t>
      </w:r>
      <w:r>
        <w:rPr>
          <w:rStyle w:val="s0"/>
        </w:rPr>
        <w:t>зводителей лекарственных препаратов.</w:t>
      </w:r>
    </w:p>
    <w:p w:rsidR="00000000" w:rsidRDefault="00C46FE7">
      <w:pPr>
        <w:pStyle w:val="pj"/>
      </w:pPr>
      <w:r>
        <w:rPr>
          <w:rStyle w:val="s0"/>
        </w:rPr>
        <w:t>39. В целях обеспечения единообразия понимания заинтересованными уполномоченными органами и участниками рынка регулирования в области использования данных реальной клинической практики следует обеспечить развитие и расш</w:t>
      </w:r>
      <w:r>
        <w:rPr>
          <w:rStyle w:val="s0"/>
        </w:rPr>
        <w:t>ирение понятийного аппарата права Союза предусмотрев включение в него понятий и их определений в области использования данных реальной клинической практики.</w:t>
      </w:r>
    </w:p>
    <w:p w:rsidR="00000000" w:rsidRDefault="00C46FE7">
      <w:pPr>
        <w:pStyle w:val="pj"/>
      </w:pPr>
      <w:r>
        <w:rPr>
          <w:rStyle w:val="s0"/>
        </w:rPr>
        <w:t xml:space="preserve">40. В целях обеспечения общих подходов к реализации основных принципов сбора, хранения и обработки </w:t>
      </w:r>
      <w:r>
        <w:rPr>
          <w:rStyle w:val="s0"/>
        </w:rPr>
        <w:t>данных реальной клинической практики, в том числе с точки зрения информационной и национальной безопасности, защиты персональных данных и обеспечения качества и доверия к данным реальной клинической практики, рекомендуется рассмотреть:</w:t>
      </w:r>
    </w:p>
    <w:p w:rsidR="00000000" w:rsidRDefault="00C46FE7">
      <w:pPr>
        <w:pStyle w:val="pj"/>
      </w:pPr>
      <w:r>
        <w:rPr>
          <w:rStyle w:val="s0"/>
        </w:rPr>
        <w:t>на уровне методическ</w:t>
      </w:r>
      <w:r>
        <w:rPr>
          <w:rStyle w:val="s0"/>
        </w:rPr>
        <w:t>их рекомендаций или руководств разъяснение подходов к сбору, передаче, хранению, использованию данных реальной клинической практики и (или) доказательств, полученных на их основе, для поддержки принятия решений, принимаемых уполномоченным органами (эксперт</w:t>
      </w:r>
      <w:r>
        <w:rPr>
          <w:rStyle w:val="s0"/>
        </w:rPr>
        <w:t>ными организациями) в сфере обращения лекарственных средств;</w:t>
      </w:r>
    </w:p>
    <w:p w:rsidR="00000000" w:rsidRDefault="00C46FE7">
      <w:pPr>
        <w:pStyle w:val="pj"/>
      </w:pPr>
      <w:r>
        <w:rPr>
          <w:rStyle w:val="s0"/>
        </w:rPr>
        <w:t>введение ограничений в отношении трансграничного переноса данных (приемлемости источников данных) реальной клинической практики и (или) доказательств, полученных на их основе;</w:t>
      </w:r>
    </w:p>
    <w:p w:rsidR="00000000" w:rsidRDefault="00C46FE7">
      <w:pPr>
        <w:pStyle w:val="pj"/>
      </w:pPr>
      <w:r>
        <w:rPr>
          <w:rStyle w:val="s0"/>
        </w:rPr>
        <w:t>подготовку процедур</w:t>
      </w:r>
      <w:r>
        <w:rPr>
          <w:rStyle w:val="s0"/>
        </w:rPr>
        <w:t xml:space="preserve"> внедрения данных реальной клинической практики и (или) доказательств, полученных на их основе, и их использования совместно с результатами клинических исследований для научного обоснования соответствующих решений, принимаемых уполномоченными органами (экс</w:t>
      </w:r>
      <w:r>
        <w:rPr>
          <w:rStyle w:val="s0"/>
        </w:rPr>
        <w:t>пертными организациями) государств-членов при одобрении (неодобрении) внесения изменений в общую характеристику лекарственного препарата, инструкцию по медицинскому применению лекарственного препарата (листок-вкладыш) в отношении безопасности и эффективнос</w:t>
      </w:r>
      <w:r>
        <w:rPr>
          <w:rStyle w:val="s0"/>
        </w:rPr>
        <w:t>ти ранее зарегистрированных лекарственных препаратов и при регистрации новых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подготовку указания в отношении использования данных реальной клинической практики и (или) доказательств, полученных на их основе, при проведении пострег</w:t>
      </w:r>
      <w:r>
        <w:rPr>
          <w:rStyle w:val="s0"/>
        </w:rPr>
        <w:t>истрационных исследований эффективности и безопасности лекарственных препаратов и (или) при организации системы фармаконадзора;</w:t>
      </w:r>
    </w:p>
    <w:p w:rsidR="00000000" w:rsidRDefault="00C46FE7">
      <w:pPr>
        <w:pStyle w:val="pj"/>
      </w:pPr>
      <w:r>
        <w:rPr>
          <w:rStyle w:val="s0"/>
        </w:rPr>
        <w:t>разработку общих принципов доверенного обезличивания и повторного использования данных реальной клинической практики, полученных</w:t>
      </w:r>
      <w:r>
        <w:rPr>
          <w:rStyle w:val="s0"/>
        </w:rPr>
        <w:t xml:space="preserve"> в том числе из первичных медицинских данных из систем ведения ЭМК, систем удаленного мониторинга пациентов, программных продуктов для автоматизации назначения лекарственной терапии и из других информационных систем в сфере здравоохранения.</w:t>
      </w:r>
    </w:p>
    <w:p w:rsidR="00000000" w:rsidRDefault="00C46FE7">
      <w:pPr>
        <w:pStyle w:val="pj"/>
      </w:pPr>
      <w:r>
        <w:rPr>
          <w:rStyle w:val="s0"/>
        </w:rPr>
        <w:t>41. В целях пов</w:t>
      </w:r>
      <w:r>
        <w:rPr>
          <w:rStyle w:val="s0"/>
        </w:rPr>
        <w:t>ышения доверия уполномоченных органов (экспертных организаций) государств-членов к качеству и достоверности данных реальной клинической практики и формируемых на их основе доказательств целесообразно рассмотреть разработку системы методологических документ</w:t>
      </w:r>
      <w:r>
        <w:rPr>
          <w:rStyle w:val="s0"/>
        </w:rPr>
        <w:t>ов, которыми следует руководствоваться операторам соответствующих программных продуктов, а также исследователям.</w:t>
      </w:r>
    </w:p>
    <w:p w:rsidR="00000000" w:rsidRDefault="00C46FE7">
      <w:pPr>
        <w:pStyle w:val="pj"/>
      </w:pPr>
      <w:r>
        <w:rPr>
          <w:rStyle w:val="s0"/>
        </w:rPr>
        <w:t>42. В целях гармонизации законодательства государств-членов с правом Союза, в части обмена результатами проведенных исследований реальной клини</w:t>
      </w:r>
      <w:r>
        <w:rPr>
          <w:rStyle w:val="s0"/>
        </w:rPr>
        <w:t xml:space="preserve">ческой практики могут использоваться подходы, указанные в </w:t>
      </w:r>
      <w:hyperlink w:anchor="sub3500" w:history="1">
        <w:r>
          <w:rPr>
            <w:rStyle w:val="a4"/>
          </w:rPr>
          <w:t>пунктах 35 - 41</w:t>
        </w:r>
      </w:hyperlink>
      <w:r>
        <w:rPr>
          <w:rStyle w:val="s0"/>
        </w:rPr>
        <w:t xml:space="preserve"> настоящих Общих подходов.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c"/>
      </w:pPr>
      <w:r>
        <w:rPr>
          <w:rStyle w:val="s1"/>
        </w:rPr>
        <w:t>IX. Ожидаемые результаты реализации Общих подходов</w:t>
      </w:r>
    </w:p>
    <w:p w:rsidR="00000000" w:rsidRDefault="00C46FE7">
      <w:pPr>
        <w:pStyle w:val="pc"/>
      </w:pPr>
      <w:r>
        <w:rPr>
          <w:rStyle w:val="s1"/>
        </w:rPr>
        <w:t> </w:t>
      </w:r>
    </w:p>
    <w:p w:rsidR="00000000" w:rsidRDefault="00C46FE7">
      <w:pPr>
        <w:pStyle w:val="pj"/>
      </w:pPr>
      <w:r>
        <w:rPr>
          <w:rStyle w:val="s0"/>
        </w:rPr>
        <w:t>43. Реализация настоящих Общих подходов потенциально будет способство</w:t>
      </w:r>
      <w:r>
        <w:rPr>
          <w:rStyle w:val="s0"/>
        </w:rPr>
        <w:t>вать:</w:t>
      </w:r>
    </w:p>
    <w:p w:rsidR="00000000" w:rsidRDefault="00C46FE7">
      <w:pPr>
        <w:pStyle w:val="pj"/>
      </w:pPr>
      <w:r>
        <w:rPr>
          <w:rStyle w:val="s0"/>
        </w:rPr>
        <w:t>а) развитию права Союза в сфере обеспечения сбора, анализа и использования данных реальной клинической практики полученных с использованием обезличенных данных из медицинских карт, регистров пациентов, данных, сгенерированных медицинскими изделиями и</w:t>
      </w:r>
      <w:r>
        <w:rPr>
          <w:rStyle w:val="s0"/>
        </w:rPr>
        <w:t xml:space="preserve"> мобильными приложениями, и др. в целях:</w:t>
      </w:r>
    </w:p>
    <w:p w:rsidR="00000000" w:rsidRDefault="00C46FE7">
      <w:pPr>
        <w:pStyle w:val="pj"/>
      </w:pPr>
      <w:r>
        <w:rPr>
          <w:rStyle w:val="s0"/>
        </w:rPr>
        <w:t>осуществления регистрационных процедур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проведения пострегистрационных исследований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осуществления фармаконадзора;</w:t>
      </w:r>
    </w:p>
    <w:p w:rsidR="00000000" w:rsidRDefault="00C46FE7">
      <w:pPr>
        <w:pStyle w:val="pj"/>
      </w:pPr>
      <w:r>
        <w:rPr>
          <w:rStyle w:val="s0"/>
        </w:rPr>
        <w:t>использованию современных инструментов при сотрудничестве между субъектами обращения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развития методологических подходов к сбору и анализу данных реальной клинической практики, обеспечивая высокое качество и достоверность информаци</w:t>
      </w:r>
      <w:r>
        <w:rPr>
          <w:rStyle w:val="s0"/>
        </w:rPr>
        <w:t>и, что в свою очередь улучшит качество принимаемых решений в области здравоохранения;</w:t>
      </w:r>
    </w:p>
    <w:p w:rsidR="00000000" w:rsidRDefault="00C46FE7">
      <w:pPr>
        <w:pStyle w:val="pj"/>
      </w:pPr>
      <w:r>
        <w:rPr>
          <w:rStyle w:val="s0"/>
        </w:rPr>
        <w:t>б) стимулированию инноваций в области медицинских технологий и развитию программного обеспечения для обработки и анализа больших объемов данных реальной клинической практ</w:t>
      </w:r>
      <w:r>
        <w:rPr>
          <w:rStyle w:val="s0"/>
        </w:rPr>
        <w:t>ики;</w:t>
      </w:r>
    </w:p>
    <w:p w:rsidR="00000000" w:rsidRDefault="00C46FE7">
      <w:pPr>
        <w:pStyle w:val="pj"/>
      </w:pPr>
      <w:r>
        <w:rPr>
          <w:rStyle w:val="s0"/>
        </w:rPr>
        <w:t>в) повышению уровня информированности пациентов о возможностях и результатах исследований реальной клинической практики, что способствует активному участию пациентов в процессе лечения и повышает уровень доверия к медицинским учреждениям и производите</w:t>
      </w:r>
      <w:r>
        <w:rPr>
          <w:rStyle w:val="s0"/>
        </w:rPr>
        <w:t>лям лекарственных препаратов;</w:t>
      </w:r>
    </w:p>
    <w:p w:rsidR="00000000" w:rsidRDefault="00C46FE7">
      <w:pPr>
        <w:pStyle w:val="pj"/>
      </w:pPr>
      <w:r>
        <w:rPr>
          <w:rStyle w:val="s0"/>
        </w:rPr>
        <w:t>г) обеспечению транспарентности и открытости процессов регистрации, контроля и фармаконадзора, что способствует прозрачности действий регуляторных органов и повышает уровень доверия со стороны общественности.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p w:rsidR="00000000" w:rsidRDefault="00C46FE7">
      <w:pPr>
        <w:pStyle w:val="pj"/>
      </w:pPr>
      <w:r>
        <w:rPr>
          <w:rStyle w:val="s0"/>
        </w:rPr>
        <w:t> </w:t>
      </w:r>
    </w:p>
    <w:sectPr w:rsidR="00000000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E7" w:rsidRDefault="00C46FE7" w:rsidP="00C46FE7">
      <w:r>
        <w:separator/>
      </w:r>
    </w:p>
  </w:endnote>
  <w:endnote w:type="continuationSeparator" w:id="0">
    <w:p w:rsidR="00C46FE7" w:rsidRDefault="00C46FE7" w:rsidP="00C4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E7" w:rsidRDefault="00C46FE7" w:rsidP="00C46FE7">
      <w:r>
        <w:separator/>
      </w:r>
    </w:p>
  </w:footnote>
  <w:footnote w:type="continuationSeparator" w:id="0">
    <w:p w:rsidR="00C46FE7" w:rsidRDefault="00C46FE7" w:rsidP="00C4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 w:rsidP="00C46F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46FE7" w:rsidRDefault="00C46FE7" w:rsidP="00C46F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Рекомендация Совета Евразийской экономической комиссии от 18 октября 2024 года № 1 «Об общих подходах к развитию регулирования обращения лекарственных средств в рамках Евразийского экономического союза в части сбора, анализа и использования данных реальной клинической практики» (г. Москва)</w:t>
    </w:r>
  </w:p>
  <w:p w:rsidR="00C46FE7" w:rsidRPr="00C46FE7" w:rsidRDefault="00C46FE7" w:rsidP="00C46FE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21.10.2024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E7" w:rsidRDefault="00C46F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46FE7"/>
    <w:rsid w:val="00C4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46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FE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46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FE7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46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46FE7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46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46FE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615869" TargetMode="External"/><Relationship Id="rId13" Type="http://schemas.openxmlformats.org/officeDocument/2006/relationships/hyperlink" Target="http://online.zakon.kz/Document/?doc_id=31615869" TargetMode="External"/><Relationship Id="rId18" Type="http://schemas.openxmlformats.org/officeDocument/2006/relationships/hyperlink" Target="http://online.zakon.kz/Document/?doc_id=3460757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856676" TargetMode="External"/><Relationship Id="rId7" Type="http://schemas.openxmlformats.org/officeDocument/2006/relationships/hyperlink" Target="http://online.zakon.kz/Document/?doc_id=31615869" TargetMode="External"/><Relationship Id="rId12" Type="http://schemas.openxmlformats.org/officeDocument/2006/relationships/hyperlink" Target="http://online.zakon.kz/Document/?doc_id=31810128" TargetMode="External"/><Relationship Id="rId17" Type="http://schemas.openxmlformats.org/officeDocument/2006/relationships/hyperlink" Target="http://online.zakon.kz/Document/?doc_id=35318111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3306486" TargetMode="External"/><Relationship Id="rId20" Type="http://schemas.openxmlformats.org/officeDocument/2006/relationships/hyperlink" Target="http://online.zakon.kz/Document/?doc_id=31758575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1615869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330285" TargetMode="External"/><Relationship Id="rId23" Type="http://schemas.openxmlformats.org/officeDocument/2006/relationships/hyperlink" Target="http://online.zakon.kz/Document/?doc_id=39998481" TargetMode="External"/><Relationship Id="rId28" Type="http://schemas.openxmlformats.org/officeDocument/2006/relationships/header" Target="header3.xml"/><Relationship Id="rId10" Type="http://schemas.openxmlformats.org/officeDocument/2006/relationships/hyperlink" Target="http://online.zakon.kz/Document/?doc_id=31615869" TargetMode="External"/><Relationship Id="rId19" Type="http://schemas.openxmlformats.org/officeDocument/2006/relationships/hyperlink" Target="http://online.zakon.kz/Document/?doc_id=3861004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1615869" TargetMode="External"/><Relationship Id="rId14" Type="http://schemas.openxmlformats.org/officeDocument/2006/relationships/hyperlink" Target="http://online.zakon.kz/Document/?doc_id=34350447" TargetMode="External"/><Relationship Id="rId22" Type="http://schemas.openxmlformats.org/officeDocument/2006/relationships/hyperlink" Target="http://online.zakon.kz/Document/?doc_id=34544643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5485</Words>
  <Characters>31265</Characters>
  <Application>Microsoft Office Word</Application>
  <DocSecurity>0</DocSecurity>
  <Lines>260</Lines>
  <Paragraphs>73</Paragraphs>
  <ScaleCrop>false</ScaleCrop>
  <Company/>
  <LinksUpToDate>false</LinksUpToDate>
  <CharactersWithSpaces>36677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2024-10-22T16:27:00Z</dcterms:created>
  <dcterms:modified xsi:type="dcterms:W3CDTF">2024-10-22T16:27:00Z</dcterms:modified>
</cp:coreProperties>
</file>