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B" w:rsidRPr="00E34CF9" w:rsidRDefault="00BF336B" w:rsidP="00E34CF9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E34CF9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E34CF9">
        <w:rPr>
          <w:rFonts w:ascii="Arial" w:hAnsi="Arial" w:cs="Arial"/>
          <w:b/>
          <w:sz w:val="20"/>
          <w:szCs w:val="20"/>
        </w:rPr>
        <w:t>Р</w:t>
      </w:r>
      <w:proofErr w:type="gramEnd"/>
      <w:r w:rsidRPr="00E34CF9">
        <w:rPr>
          <w:rFonts w:ascii="Arial" w:hAnsi="Arial" w:cs="Arial"/>
          <w:b/>
          <w:sz w:val="20"/>
          <w:szCs w:val="20"/>
        </w:rPr>
        <w:t xml:space="preserve"> ДСМ-67 от 6 мая 2019 года</w:t>
      </w:r>
    </w:p>
    <w:p w:rsidR="00BF336B" w:rsidRPr="00E34CF9" w:rsidRDefault="00BF336B" w:rsidP="00E34CF9">
      <w:pPr>
        <w:pStyle w:val="a8"/>
        <w:jc w:val="center"/>
        <w:rPr>
          <w:rFonts w:ascii="Arial" w:hAnsi="Arial" w:cs="Arial"/>
          <w:i/>
          <w:sz w:val="20"/>
          <w:szCs w:val="20"/>
        </w:rPr>
      </w:pPr>
      <w:r w:rsidRPr="00E34CF9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</w:t>
      </w:r>
      <w:r w:rsidR="00E34CF9" w:rsidRPr="00E34CF9">
        <w:rPr>
          <w:rFonts w:ascii="Arial" w:hAnsi="Arial" w:cs="Arial"/>
          <w:i/>
          <w:sz w:val="20"/>
          <w:szCs w:val="20"/>
        </w:rPr>
        <w:t>захстан 8 мая 2019 года № 18636</w:t>
      </w:r>
    </w:p>
    <w:p w:rsidR="00BF336B" w:rsidRPr="00E34CF9" w:rsidRDefault="00BF336B" w:rsidP="00E34CF9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E34CF9">
        <w:rPr>
          <w:rFonts w:ascii="Arial" w:hAnsi="Arial" w:cs="Arial"/>
          <w:b/>
          <w:sz w:val="20"/>
          <w:szCs w:val="20"/>
        </w:rPr>
        <w:t xml:space="preserve">Об утверждении </w:t>
      </w:r>
      <w:proofErr w:type="gramStart"/>
      <w:r w:rsidRPr="00E34CF9">
        <w:rPr>
          <w:rFonts w:ascii="Arial" w:hAnsi="Arial" w:cs="Arial"/>
          <w:b/>
          <w:sz w:val="20"/>
          <w:szCs w:val="20"/>
        </w:rPr>
        <w:t>Правил проведения оценки рационального использования лекарственных средств</w:t>
      </w:r>
      <w:proofErr w:type="gramEnd"/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proofErr w:type="gramStart"/>
      <w:r w:rsidRPr="00E34CF9">
        <w:rPr>
          <w:rFonts w:ascii="Arial" w:hAnsi="Arial" w:cs="Arial"/>
          <w:sz w:val="20"/>
          <w:szCs w:val="20"/>
        </w:rPr>
        <w:t xml:space="preserve">В </w:t>
      </w:r>
      <w:bookmarkStart w:id="0" w:name="_GoBack"/>
      <w:bookmarkEnd w:id="0"/>
      <w:r w:rsidRPr="00E34CF9">
        <w:rPr>
          <w:rFonts w:ascii="Arial" w:hAnsi="Arial" w:cs="Arial"/>
          <w:sz w:val="20"/>
          <w:szCs w:val="20"/>
        </w:rPr>
        <w:t xml:space="preserve">соответствии с подпунктом 70-2) пункта 1 статьи 7 Кодекса Республики Казахстан от 18 сентября 2009 года "О здоровье народа и системе здравоохранения", </w:t>
      </w:r>
      <w:r w:rsidRPr="00E34CF9">
        <w:rPr>
          <w:rFonts w:ascii="Arial" w:hAnsi="Arial" w:cs="Arial"/>
          <w:b/>
          <w:sz w:val="20"/>
          <w:szCs w:val="20"/>
        </w:rPr>
        <w:t>ПРИКАЗЫВАЮ</w:t>
      </w:r>
      <w:r w:rsidRPr="00E34CF9">
        <w:rPr>
          <w:rFonts w:ascii="Arial" w:hAnsi="Arial" w:cs="Arial"/>
          <w:sz w:val="20"/>
          <w:szCs w:val="20"/>
        </w:rPr>
        <w:t>:</w:t>
      </w:r>
      <w:proofErr w:type="gramEnd"/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 xml:space="preserve">1. Утвердить согласно приложению к настоящему приказу </w:t>
      </w:r>
      <w:proofErr w:type="gramStart"/>
      <w:r w:rsidRPr="00E34CF9">
        <w:rPr>
          <w:rFonts w:ascii="Arial" w:hAnsi="Arial" w:cs="Arial"/>
          <w:sz w:val="20"/>
          <w:szCs w:val="20"/>
        </w:rPr>
        <w:t>Правила проведения оценки рационального использования лекарственных средств</w:t>
      </w:r>
      <w:proofErr w:type="gramEnd"/>
      <w:r w:rsidRPr="00E34CF9">
        <w:rPr>
          <w:rFonts w:ascii="Arial" w:hAnsi="Arial" w:cs="Arial"/>
          <w:sz w:val="20"/>
          <w:szCs w:val="20"/>
        </w:rPr>
        <w:t>.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порядке обеспечить: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proofErr w:type="gramStart"/>
      <w:r w:rsidRPr="00E34CF9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</w:t>
      </w:r>
      <w:proofErr w:type="gramEnd"/>
      <w:r w:rsidRPr="00E34CF9">
        <w:rPr>
          <w:rFonts w:ascii="Arial" w:hAnsi="Arial" w:cs="Arial"/>
          <w:sz w:val="20"/>
          <w:szCs w:val="20"/>
        </w:rPr>
        <w:t xml:space="preserve"> актов Республики Казахстан;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E34CF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E34CF9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E34CF9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E34CF9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E34CF9">
        <w:rPr>
          <w:rFonts w:ascii="Arial" w:hAnsi="Arial" w:cs="Arial"/>
          <w:sz w:val="20"/>
          <w:szCs w:val="20"/>
        </w:rPr>
        <w:t>Надырова</w:t>
      </w:r>
      <w:proofErr w:type="spellEnd"/>
      <w:r w:rsidRPr="00E34CF9">
        <w:rPr>
          <w:rFonts w:ascii="Arial" w:hAnsi="Arial" w:cs="Arial"/>
          <w:sz w:val="20"/>
          <w:szCs w:val="20"/>
        </w:rPr>
        <w:t xml:space="preserve"> К.Т.</w:t>
      </w:r>
    </w:p>
    <w:p w:rsidR="00BF336B" w:rsidRPr="00E34CF9" w:rsidRDefault="00BF336B" w:rsidP="00E34CF9">
      <w:pPr>
        <w:pStyle w:val="a8"/>
        <w:jc w:val="both"/>
        <w:rPr>
          <w:rFonts w:ascii="Arial" w:hAnsi="Arial" w:cs="Arial"/>
          <w:sz w:val="20"/>
          <w:szCs w:val="20"/>
        </w:rPr>
      </w:pPr>
      <w:r w:rsidRPr="00E34CF9">
        <w:rPr>
          <w:rFonts w:ascii="Arial" w:hAnsi="Arial" w:cs="Arial"/>
          <w:sz w:val="20"/>
          <w:szCs w:val="20"/>
        </w:rPr>
        <w:t>4. Настоящий приказ вводится в действие после истечения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F336B" w:rsidRPr="00BF336B" w:rsidTr="00BF336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3"/>
            <w:bookmarkEnd w:id="1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 № Қ</w:t>
            </w:r>
            <w:proofErr w:type="gramStart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ДСМ-67</w:t>
            </w:r>
          </w:p>
        </w:tc>
      </w:tr>
    </w:tbl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оценки рационального использования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проведения оценки рационального использования 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средств разработаны в соответствии с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подпунктом 70-2)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7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Республики Казахстан от 18 сентября 2009 года "О здоровье народа и системе здравоохранения" (далее – Кодекс) и определяют порядок проведения оценки рационального использования лекарственных средств в организациях здравоохранения (далее – Правила).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основные термины и определения: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 и медицинских изделий,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лекарственный формуляр организации здравоохранения – перечень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международное непатентованное название лекарственного средства – название лекарственного средства, рекомендованное Всемирной организацией здравоохранения;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лекарственный препарат – лекарственное средство в виде лекарственной формы, применяемое для диагностики, лечения и профилактики;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клинический фармаколог – специалист с высшим медицинским образованием по профилям "лечебное дело", "педиатрия", "общая медицина", прошедший резидентуру или переподготовку по клинической фармакологии и имеющий сертификат специалиста клинического фармаколога;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Казахстанский национальный лекарственный формуляр – перечень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оказанной клинической безопасностью и эффективностью, а также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торговое наименование лекарственного средства – название, под которым регистрируется лекарственное средство;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формулярная система — система периодической оценки и отбора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лекарственных формуляров, поддержания лекарственных формуляров и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Оценка рационального использования лекарственных средств в организациях здравоохранения осуществляется путем проведения внутренней и внешней оценки рационального использования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организациями здравоохранения внутренней оценки рационального использования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Организациями здравоохранения ежегодно в течение 1 полугодия проводится внутренняя оценка рационального использования лекарственных средств (далее–внутренняя оценка) за предыдущий год.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Внутренняя оценка представляет собой оценку соответствия использования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действующего законодательства Республики Казахстан.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Внутренняя оценка проводится структурным подразделением организации здравоохранения, осуществляющим деятельность по управлению качеством медицинской помощи на уровне организации здравоохранения (далее – 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труктурное подразделение) с участием клинического фармаколога. Клинический фармаколог привлекается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его отсутствия в организации здравоохранения.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Структурное подразделение и клинический фармаколог обеспечиваются доступом к медицинской информационной системе организации здравоохранения.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Внутренней оценке организации здравоохранения подлежат: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деятельность формулярной комиссии организации здравоохранения;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планирование и закуп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система мониторинга обоснованности назначения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система инфекционного контроля;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система сбора и мониторинга медикаментозных ошибок;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система регистрации нежелательных реакций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анализ потребления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анализ рациональности использования финансовых затрат на лекарственные средства посредством распределения лекарственных средств по трем классам в зависимости от объемов их потребления на протяжении определенного периода (далее –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си)) и оценка эффективности использования лекарственных средств: жизненно-важные лекарственные средства, необходимые (важные) для спасения и поддержания жизни; необходимые лекарственные средства, эффективные при лечении менее опасных, но серьезных заболеваний; второстепенные (несущественные) лекарственные средства сомнительной эффективности, дорогостоящие лекарства, используемые по симптоматическим показаниям (далее – VEN (вен)).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Для обеспечения рационального использования лекарственных средств, организация здравоохранения разрабатывает и утверждает руководителем организации здравоохранения: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документ, описывающий порядок обращения лекарственных средств в организации здравоохранения, включающий стандартные операционные процедуры (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СОПы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планирования, закупа, хранения, распределения и использования лекарственных средств, в том числе обращения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ысокой степенью риска;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список лекарственных средств, при работе с которыми имеется повышенный риск причинения ущерба пациенту и (или) медицинским работникам (с высокой степенью риска), с учетом профиля организации здравоохранения.</w:t>
      </w:r>
    </w:p>
    <w:p w:rsidR="00BF336B" w:rsidRPr="00E34CF9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Система мониторинга обоснованности назначения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сбор данных для оценки обоснованности назначения лекарственных средств и оценку обоснованности назначений лекарственных средств по формам согласно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проведения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мониторинга обоснованности назначения лекарственных средств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приоритетные группы, использование которых имеет наибольший клинический и экономический эффект и индикаторы их оценки.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приоритетным группам относятся: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дорогостоящие;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больших количествах;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противомикробные;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применяемые для лечения пациентов групп риска (пожилые, дети, беременные, пациенты отделения интенсивной терапии);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имеющие серьезные нежелательные реакции, узкий терапевтический индекс;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применяемые для лечения наиболее часто встречающихся заболеваний;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находящиеся на рассмотрении по включению в лекарственный формуляр организации здравоохранения;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новые лекарственные средства, включенные в лекарственный формуляр организации здравоохранения.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Индикаторами оценки обоснованности назначений лекарственных средств являются: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соответствие показаний, по которым было использовано лекарственное средство показаниям лекарственного средства в формулярных статьях Казахстанского национального лекарственного формуляра (далее – КНФ), инструкции по медицинскому применению лекарственного средства, клинических протоколах, международных клинических руководствах;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соблюдение клинических ограничений по использованию лекарственного средства;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соблюдение режима дозирования;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соответствие пути введения лекарственного средства состоянию, возрасту пациента, фармацевтическим характеристикам лекарственного средства;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стоимость лекарственного средства.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Система инфекционного контроля включает создание и функционирование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использованию противомикробных препаратов, экспертизу внутрибольничных</w:t>
      </w:r>
      <w:r w:rsidRPr="00BF3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инфекций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стационарном уровне и мониторинг обоснованности назначений противомикробных препаратов.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целью сдерживания устойчивости к противомикробным препаратам определяется доля их назначения от всех назначений лекарственных средств.</w:t>
      </w:r>
    </w:p>
    <w:p w:rsidR="00BF336B" w:rsidRPr="00E34CF9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Система сбора и мониторинга медикаментозных ошибок включает сбор, заполнение форм-сообщений, анализ выявленных медикаментозных ошибок, разработку мероприятий по устранению и недопущению причин, их вызывающих согласно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Сообщения о медикаментозных ошибках подаются всеми участниками лечебного процесса (врачом, фармацевтом, медицинской сестрой, пациентом, законным представителем несовершеннолетнего лица, опекуном недееспособного лица) для их рассмотрения в структурное подразделение, не позднее 24 часов с момента происшествия и (или) выявления медикаментозной ошибки.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Государственные медицинские организации для сбора и учета форм-сообщений о медикаментозных ошибках один раз в год не позднее 25 октября текущего года направляют заполненные формы-сообщения о медикаментозных ошибках в Республиканское государственное предприятие на праве хозяйственного ведения "Республиканский центр развития здравоохранения" (далее – Центр).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Система регистрации нежелательных реакций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заполнение и передачу карт-сообщений о побочном действии или нежелательной реакции лекарственного средства в государственную экспертную организацию в сфере обращения лекарственных средств и медицинских изделий.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Анализ потребления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с учетом установленной суточной дозы и фактических данных по количеству использованных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анализа потребления лекарственных средств используются для дальнейшего мониторинга и планирования закупа лекарственных средств или отдельных фармакологических групп, а также определения тенденций их потребления.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АВС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анализ проводится для оценки: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закупа различных лекарственных средств или фармакологических групп на уровне организации здравоохранения;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применения лекарственных средств или фармакологических групп при определенной нозологии;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использования определенных лекарственных средств внутри одной фармакологической группы;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целесообразности финансовых затрат организации здравоохранения на лекарственные средства в соответствии с профилем оказываемой медицинской помощи;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соответствия финансовых затрат структуре заболеваемости.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VEN (вен) анализ проводится для ранжирования лекарственного средства по степени клинической важности, которое определяется уровнем доказательности эффективности лекарственного средства.</w:t>
      </w:r>
    </w:p>
    <w:p w:rsidR="00BF336B" w:rsidRPr="00E34CF9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Результаты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анализов закупа лекарственных средств используются при разработке и формировании лекарственного формуляра организации здравоохранения в соответствии с Порядком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здравоохранения, утверждаемым в 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подпунктом 70)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7 Кодекса.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Результаты внутренней оценки рационального использования лекарственных средств рассматриваются на заседании формулярной комиссии организации здравоохранения.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 решению формулярной комиссии организации здравоохранения в течение трех месяцев принимаются меры по устранению несоответствий и дальнейшему улучшению рационального использования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Мероприятия по устранению выявленных несоответствий носят образовательный и (или) оперативный характер и нацелены на группу лиц или на отдельного специалиста, в чьей работе были допущены ошибки при использовании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Образовательные меры включают проведение обучающих мероприятий для медицинских и фармацевтических работников в виде курсов повышения квалификации по рациональному использованию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меры включают изменения в лекарственном формуляре организации здравоохранения, и (или) введение ограничений на использование некоторых лекарственных средств, и (или) пересмотр и введение новых стандартов лечения, и (или) закупку медицинского оборудования, и (или) внедрение новых лабораторных методов, и (или) изменения в штатном расписании.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Результаты внутренней оценки рационального использования лекарственных средств размещаются на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здравоохранения по истечении 20 рабочих дней от даты проведения оценки.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проведения внешней оценки рационального использования лекарственных средств в организациях здравоохранения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Внешняя оценка рационального использования лекарственных средств в организациях здравоохранения (далее – внешняя оценка) осуществляется с целью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эффективности применения лекарственных средств путем выработки рекомендаций и обучения медицинских и фармацевтических работников рациональному использованию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Внешняя оценка проводится Центром с периодичностью один раз в два года.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Для проведения внешней оценки у Центра имеется доступ к информационным системам уполномоченного органа и медицинским информационным системам организаций здравоохранения.</w:t>
      </w:r>
    </w:p>
    <w:p w:rsidR="00BF336B" w:rsidRPr="00E34CF9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Внешняя оценка осуществляется на основании индикаторов оценки рационального использования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организаций, оказывающих стационарную и 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амбулаторно-поликлиническую помощь (далее – индикаторы), согласно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приложениям 3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Оценка на соответствие индикаторов осуществляется путем изучения и анализа документов, наблюдения и опросов персонала.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Результаты внешней оценки с рекомендациями направляются соответствующей организации здравоохранения для рассмотрения и принятия мер.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Сводная информация по результатам внешней оценки организаций здравоохранения направляется в Формулярную комиссию Министерства здравоохранения Республики Казахстан для выработки рекомендаций уполномоченному органу по улучшению рационального использования лекарственных средств.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Центр по результатам внутренней или внешней оценки проводит обучающие мероприятия медицинских и фармацевтических работников. Срок обучения не менее 54 часов.</w:t>
      </w:r>
    </w:p>
    <w:p w:rsidR="00BF336B" w:rsidRPr="00E34CF9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Организации здравоохранения обеспечивают рациональное использование 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средств согласно </w:t>
      </w:r>
      <w:r w:rsidRPr="00E34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пункту 3</w:t>
      </w:r>
      <w:r w:rsidRP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86-2 Кодекса.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Центр через единую бесплатную телефонную линию / контакт – центр предоставляет медицинским и фармацевтическим работникам и населению достоверную информацию о лекарственных средствах на основе принципов доказательной медицины, а также консультационные услуги при сложных случаях применения и взаимодействия лекарственных средств.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F336B" w:rsidRPr="00BF336B" w:rsidTr="00BF336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98"/>
            <w:bookmarkEnd w:id="2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рационального использования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</w:p>
        </w:tc>
      </w:tr>
    </w:tbl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 данных для оценки обоснованности назначения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/ период сбора данных: 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(дата, месяц, год)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ЛС/ фармакологическая группа ЛС/ нозология: 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Отделения организации здравоохранения, где будет проводиться оценка: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сбора данных: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61B25" wp14:editId="5A6C194E">
            <wp:extent cx="266700" cy="304800"/>
            <wp:effectExtent l="0" t="0" r="0" b="0"/>
            <wp:docPr id="157" name="Рисунок 157" descr="http://adilet.zan.kz/files/1193/78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93/78/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3AE64" wp14:editId="0E15D8C5">
            <wp:extent cx="266700" cy="304800"/>
            <wp:effectExtent l="0" t="0" r="0" b="0"/>
            <wp:docPr id="156" name="Рисунок 156" descr="http://adilet.zan.kz/files/1193/7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93/78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ретроспективный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9B802" wp14:editId="1685264D">
            <wp:extent cx="266700" cy="304800"/>
            <wp:effectExtent l="0" t="0" r="0" b="0"/>
            <wp:docPr id="155" name="Рисунок 155" descr="http://adilet.zan.kz/files/1193/7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93/7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оцениваемых историй болезней/ назначений: 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Оцениваемый период назначений: 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(дата, месяц, год)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выбора оцениваемых ЛС/ фармакологической группы ЛС/ нозологии: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B05E8" wp14:editId="60BE5605">
            <wp:extent cx="266700" cy="304800"/>
            <wp:effectExtent l="0" t="0" r="0" b="0"/>
            <wp:docPr id="154" name="Рисунок 154" descr="http://adilet.zan.kz/files/1193/7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93/78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нежелательные реакции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6D543" wp14:editId="18601DD8">
            <wp:extent cx="266700" cy="304800"/>
            <wp:effectExtent l="0" t="0" r="0" b="0"/>
            <wp:docPr id="153" name="Рисунок 153" descr="http://adilet.zan.kz/files/1193/7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193/78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неблагоприятные взаимодействия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5AB48" wp14:editId="6968B6E4">
            <wp:extent cx="266700" cy="304800"/>
            <wp:effectExtent l="0" t="0" r="0" b="0"/>
            <wp:docPr id="152" name="Рисунок 152" descr="http://adilet.zan.kz/files/1193/7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193/78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с назначением данного ЛС / фармакологической группы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D4728" wp14:editId="56DFACCF">
            <wp:extent cx="266700" cy="304800"/>
            <wp:effectExtent l="0" t="0" r="0" b="0"/>
            <wp:docPr id="151" name="Рисунок 151" descr="http://adilet.zan.kz/files/1193/7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1193/78/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средство высокого риска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574F6" wp14:editId="2C94F38F">
            <wp:extent cx="266700" cy="304800"/>
            <wp:effectExtent l="0" t="0" r="0" b="0"/>
            <wp:docPr id="150" name="Рисунок 150" descr="http://adilet.zan.kz/files/1193/7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ilet.zan.kz/files/1193/78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доля расходов на ЛС / фармакологическую группу по результатам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5087E5" wp14:editId="517A38F4">
            <wp:extent cx="266700" cy="304800"/>
            <wp:effectExtent l="0" t="0" r="0" b="0"/>
            <wp:docPr id="149" name="Рисунок 149" descr="http://adilet.zan.kz/files/1193/7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ilet.zan.kz/files/1193/78/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ЛС / фармакологическая группа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7BD88" wp14:editId="4D5F02E4">
            <wp:extent cx="266700" cy="304800"/>
            <wp:effectExtent l="0" t="0" r="0" b="0"/>
            <wp:docPr id="148" name="Рисунок 148" descr="http://adilet.zan.kz/files/1193/7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ilet.zan.kz/files/1193/78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персонала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EC1AA" wp14:editId="5858729E">
            <wp:extent cx="266700" cy="304800"/>
            <wp:effectExtent l="0" t="0" r="0" b="0"/>
            <wp:docPr id="147" name="Рисунок 147" descr="http://adilet.zan.kz/files/1193/7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ilet.zan.kz/files/1193/78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проведенной оценки обоснованности назначения ЛС: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Принятые меры по устранению несоответствий и дальнейшему улучшению рационального использования ЛС: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 оценки обоснованности назначения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истории болезни_____________________________________________________________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Лечащий врач__________________________________________________________________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(фамилия, инициалы)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рождения ___. ______. _____ Пол: 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20BC3" wp14:editId="1EFA150E">
            <wp:extent cx="266700" cy="304800"/>
            <wp:effectExtent l="0" t="0" r="0" b="0"/>
            <wp:docPr id="146" name="Рисунок 146" descr="http://adilet.zan.kz/files/1193/7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ilet.zan.kz/files/1193/78/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66C0F" wp14:editId="406C8192">
            <wp:extent cx="266700" cy="304800"/>
            <wp:effectExtent l="0" t="0" r="0" b="0"/>
            <wp:docPr id="145" name="Рисунок 145" descr="http://adilet.zan.kz/files/1193/7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ilet.zan.kz/files/1193/78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Вес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основной 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сопутствующий 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ЛС назначенных пациенту 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Назначенные ЛС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(наименования ЛС, доза, форма выпус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Оценка обоснованности назначения лекарственных средств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полностью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медикаментозной терапии диагнозу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39D46" wp14:editId="0EA55B1A">
            <wp:extent cx="266700" cy="304800"/>
            <wp:effectExtent l="0" t="0" r="0" b="0"/>
            <wp:docPr id="144" name="Рисунок 144" descr="http://adilet.zan.kz/files/1193/7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dilet.zan.kz/files/1193/78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4B1A9" wp14:editId="61408998">
            <wp:extent cx="266700" cy="304800"/>
            <wp:effectExtent l="0" t="0" r="0" b="0"/>
            <wp:docPr id="143" name="Рисунок 143" descr="http://adilet.zan.kz/files/1193/7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dilet.zan.kz/files/1193/78/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B66F6" wp14:editId="78D99D91">
            <wp:extent cx="266700" cy="304800"/>
            <wp:effectExtent l="0" t="0" r="0" b="0"/>
            <wp:docPr id="142" name="Рисунок 142" descr="http://adilet.zan.kz/files/1193/78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ilet.zan.kz/files/1193/78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медикаментозной терапии КНФ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EB857" wp14:editId="4B72B467">
            <wp:extent cx="266700" cy="304800"/>
            <wp:effectExtent l="0" t="0" r="0" b="0"/>
            <wp:docPr id="141" name="Рисунок 141" descr="http://adilet.zan.kz/files/1193/7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ilet.zan.kz/files/1193/78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FA23F" wp14:editId="5D8001A8">
            <wp:extent cx="266700" cy="304800"/>
            <wp:effectExtent l="0" t="0" r="0" b="0"/>
            <wp:docPr id="140" name="Рисунок 140" descr="http://adilet.zan.kz/files/1193/78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dilet.zan.kz/files/1193/78/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C81C5" wp14:editId="4A9B2015">
            <wp:extent cx="266700" cy="304800"/>
            <wp:effectExtent l="0" t="0" r="0" b="0"/>
            <wp:docPr id="139" name="Рисунок 139" descr="http://adilet.zan.kz/files/1193/78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ilet.zan.kz/files/1193/78/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медикаментозной терапии клиническим протоколам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AA457" wp14:editId="4AEF67DC">
            <wp:extent cx="266700" cy="304800"/>
            <wp:effectExtent l="0" t="0" r="0" b="0"/>
            <wp:docPr id="138" name="Рисунок 138" descr="http://adilet.zan.kz/files/1193/78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ilet.zan.kz/files/1193/78/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03CFC" wp14:editId="35E07620">
            <wp:extent cx="266700" cy="304800"/>
            <wp:effectExtent l="0" t="0" r="0" b="0"/>
            <wp:docPr id="137" name="Рисунок 137" descr="http://adilet.zan.kz/files/1193/78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ilet.zan.kz/files/1193/78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076A6" wp14:editId="1B74B405">
            <wp:extent cx="266700" cy="304800"/>
            <wp:effectExtent l="0" t="0" r="0" b="0"/>
            <wp:docPr id="136" name="Рисунок 136" descr="http://adilet.zan.kz/files/1193/78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dilet.zan.kz/files/1193/78/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медикаментозной терапии международным клиническим руководствам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AE514" wp14:editId="73A3121F">
            <wp:extent cx="266700" cy="304800"/>
            <wp:effectExtent l="0" t="0" r="0" b="0"/>
            <wp:docPr id="135" name="Рисунок 135" descr="http://adilet.zan.kz/files/1193/78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ilet.zan.kz/files/1193/78/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B11A4" wp14:editId="27E0AD73">
            <wp:extent cx="266700" cy="304800"/>
            <wp:effectExtent l="0" t="0" r="0" b="0"/>
            <wp:docPr id="134" name="Рисунок 134" descr="http://adilet.zan.kz/files/1193/78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dilet.zan.kz/files/1193/78/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AEBB1" wp14:editId="2DE0DA1E">
            <wp:extent cx="266700" cy="304800"/>
            <wp:effectExtent l="0" t="0" r="0" b="0"/>
            <wp:docPr id="133" name="Рисунок 133" descr="http://adilet.zan.kz/files/1193/78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dilet.zan.kz/files/1193/78/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Учет возраста, физиологического/патологического состояния пациента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C6B45" wp14:editId="2B4BFCA7">
            <wp:extent cx="266700" cy="304800"/>
            <wp:effectExtent l="0" t="0" r="0" b="0"/>
            <wp:docPr id="132" name="Рисунок 132" descr="http://adilet.zan.kz/files/1193/78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dilet.zan.kz/files/1193/78/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84A31" wp14:editId="2DB30422">
            <wp:extent cx="266700" cy="304800"/>
            <wp:effectExtent l="0" t="0" r="0" b="0"/>
            <wp:docPr id="131" name="Рисунок 131" descr="http://adilet.zan.kz/files/1193/78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dilet.zan.kz/files/1193/78/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24705" wp14:editId="1D5B6D46">
            <wp:extent cx="266700" cy="304800"/>
            <wp:effectExtent l="0" t="0" r="0" b="0"/>
            <wp:docPr id="130" name="Рисунок 130" descr="http://adilet.zan.kz/files/1193/78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dilet.zan.kz/files/1193/78/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дозировки ЛС диагнозу и физиологическому состоянию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BE3D4" wp14:editId="46E02E35">
            <wp:extent cx="266700" cy="304800"/>
            <wp:effectExtent l="0" t="0" r="0" b="0"/>
            <wp:docPr id="129" name="Рисунок 129" descr="http://adilet.zan.kz/files/1193/78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dilet.zan.kz/files/1193/78/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97A34" wp14:editId="00B1D34B">
            <wp:extent cx="266700" cy="304800"/>
            <wp:effectExtent l="0" t="0" r="0" b="0"/>
            <wp:docPr id="128" name="Рисунок 128" descr="http://adilet.zan.kz/files/1193/78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dilet.zan.kz/files/1193/78/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392C7" wp14:editId="4122AE6A">
            <wp:extent cx="266700" cy="304800"/>
            <wp:effectExtent l="0" t="0" r="0" b="0"/>
            <wp:docPr id="127" name="Рисунок 127" descr="http://adilet.zan.kz/files/1193/78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dilet.zan.kz/files/1193/78/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путей введения ЛС диагнозу и физиологическому состоянию □ □ □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Комбинация ЛС была рациональной и (или) безопасной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A00CE" wp14:editId="4B4DD90B">
            <wp:extent cx="266700" cy="304800"/>
            <wp:effectExtent l="0" t="0" r="0" b="0"/>
            <wp:docPr id="126" name="Рисунок 126" descr="http://adilet.zan.kz/files/1193/78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dilet.zan.kz/files/1193/78/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5EA8" wp14:editId="1817F67A">
            <wp:extent cx="266700" cy="304800"/>
            <wp:effectExtent l="0" t="0" r="0" b="0"/>
            <wp:docPr id="125" name="Рисунок 125" descr="http://adilet.zan.kz/files/1193/78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dilet.zan.kz/files/1193/78/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75692" wp14:editId="33A11E58">
            <wp:extent cx="266700" cy="304800"/>
            <wp:effectExtent l="0" t="0" r="0" b="0"/>
            <wp:docPr id="124" name="Рисунок 124" descr="http://adilet.zan.kz/files/1193/78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dilet.zan.kz/files/1193/78/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Обоснованность назначения инъекционных препаратов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E0BF" wp14:editId="2D5BE3DE">
            <wp:extent cx="266700" cy="304800"/>
            <wp:effectExtent l="0" t="0" r="0" b="0"/>
            <wp:docPr id="123" name="Рисунок 123" descr="http://adilet.zan.kz/files/1193/78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dilet.zan.kz/files/1193/78/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18561" wp14:editId="21A6A9E4">
            <wp:extent cx="266700" cy="304800"/>
            <wp:effectExtent l="0" t="0" r="0" b="0"/>
            <wp:docPr id="122" name="Рисунок 122" descr="http://adilet.zan.kz/files/1193/78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dilet.zan.kz/files/1193/78/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04687" wp14:editId="7E2E7371">
            <wp:extent cx="266700" cy="304800"/>
            <wp:effectExtent l="0" t="0" r="0" b="0"/>
            <wp:docPr id="121" name="Рисунок 121" descr="http://adilet.zan.kz/files/1193/78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dilet.zan.kz/files/1193/78/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Обоснованность назначения противомикробных препаратов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FC46A" wp14:editId="12EEF4D8">
            <wp:extent cx="266700" cy="304800"/>
            <wp:effectExtent l="0" t="0" r="0" b="0"/>
            <wp:docPr id="120" name="Рисунок 120" descr="http://adilet.zan.kz/files/1193/78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dilet.zan.kz/files/1193/78/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33D03E" wp14:editId="02C8C932">
            <wp:extent cx="266700" cy="304800"/>
            <wp:effectExtent l="0" t="0" r="0" b="0"/>
            <wp:docPr id="119" name="Рисунок 119" descr="http://adilet.zan.kz/files/1193/78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dilet.zan.kz/files/1193/78/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B4194" wp14:editId="556FB05F">
            <wp:extent cx="266700" cy="304800"/>
            <wp:effectExtent l="0" t="0" r="0" b="0"/>
            <wp:docPr id="118" name="Рисунок 118" descr="http://adilet.zan.kz/files/1193/78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dilet.zan.kz/files/1193/78/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Достижение цели медикаментозной терапии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E02C1" wp14:editId="524C8293">
            <wp:extent cx="266700" cy="304800"/>
            <wp:effectExtent l="0" t="0" r="0" b="0"/>
            <wp:docPr id="117" name="Рисунок 117" descr="http://adilet.zan.kz/files/1193/78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dilet.zan.kz/files/1193/78/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A20C9" wp14:editId="3D08A1A0">
            <wp:extent cx="266700" cy="304800"/>
            <wp:effectExtent l="0" t="0" r="0" b="0"/>
            <wp:docPr id="116" name="Рисунок 116" descr="http://adilet.zan.kz/files/1193/78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dilet.zan.kz/files/1193/78/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D5277" wp14:editId="58C162D1">
            <wp:extent cx="266700" cy="304800"/>
            <wp:effectExtent l="0" t="0" r="0" b="0"/>
            <wp:docPr id="115" name="Рисунок 115" descr="http://adilet.zan.kz/files/1193/78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dilet.zan.kz/files/1193/78/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Проводился ли контроль медикаментозной терапии? □ □ □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Назначение / выписывание ЛС под МНН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8BFA0" wp14:editId="1ADC0C7B">
            <wp:extent cx="266700" cy="304800"/>
            <wp:effectExtent l="0" t="0" r="0" b="0"/>
            <wp:docPr id="114" name="Рисунок 114" descr="http://adilet.zan.kz/files/1193/78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dilet.zan.kz/files/1193/78/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79CBC" wp14:editId="18A487CE">
            <wp:extent cx="266700" cy="304800"/>
            <wp:effectExtent l="0" t="0" r="0" b="0"/>
            <wp:docPr id="113" name="Рисунок 113" descr="http://adilet.zan.kz/files/1193/78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dilet.zan.kz/files/1193/78/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FAA374" wp14:editId="7C5D8D20">
            <wp:extent cx="266700" cy="304800"/>
            <wp:effectExtent l="0" t="0" r="0" b="0"/>
            <wp:docPr id="112" name="Рисунок 112" descr="http://adilet.zan.kz/files/1193/78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dilet.zan.kz/files/1193/78/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стандартам ведения листа назначений медикаментов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C0BB9" wp14:editId="7F5A7EDC">
            <wp:extent cx="266700" cy="304800"/>
            <wp:effectExtent l="0" t="0" r="0" b="0"/>
            <wp:docPr id="111" name="Рисунок 111" descr="http://adilet.zan.kz/files/1193/78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dilet.zan.kz/files/1193/78/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1C923" wp14:editId="1E4E3070">
            <wp:extent cx="266700" cy="304800"/>
            <wp:effectExtent l="0" t="0" r="0" b="0"/>
            <wp:docPr id="110" name="Рисунок 110" descr="http://adilet.zan.kz/files/1193/78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adilet.zan.kz/files/1193/78/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501AB" wp14:editId="2D3DD3D1">
            <wp:extent cx="266700" cy="304800"/>
            <wp:effectExtent l="0" t="0" r="0" b="0"/>
            <wp:docPr id="109" name="Рисунок 109" descr="http://adilet.zan.kz/files/1193/78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dilet.zan.kz/files/1193/78/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выявлена нежелательная реакция ЛС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3B279" wp14:editId="1B12929E">
            <wp:extent cx="266700" cy="304800"/>
            <wp:effectExtent l="0" t="0" r="0" b="0"/>
            <wp:docPr id="108" name="Рисунок 108" descr="http://adilet.zan.kz/files/1193/78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adilet.zan.kz/files/1193/78/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F75E4" wp14:editId="44AA7209">
            <wp:extent cx="266700" cy="304800"/>
            <wp:effectExtent l="0" t="0" r="0" b="0"/>
            <wp:docPr id="107" name="Рисунок 107" descr="http://adilet.zan.kz/files/1193/78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adilet.zan.kz/files/1193/78/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5A4AD" wp14:editId="59EB5FC8">
            <wp:extent cx="266700" cy="304800"/>
            <wp:effectExtent l="0" t="0" r="0" b="0"/>
            <wp:docPr id="106" name="Рисунок 106" descr="http://adilet.zan.kz/files/1193/78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dilet.zan.kz/files/1193/78/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Медикаментозных ошибок нет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65AD1" wp14:editId="1596D1A1">
            <wp:extent cx="266700" cy="304800"/>
            <wp:effectExtent l="0" t="0" r="0" b="0"/>
            <wp:docPr id="105" name="Рисунок 105" descr="http://adilet.zan.kz/files/1193/78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adilet.zan.kz/files/1193/78/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4CED3" wp14:editId="2BAF5D7B">
            <wp:extent cx="266700" cy="304800"/>
            <wp:effectExtent l="0" t="0" r="0" b="0"/>
            <wp:docPr id="104" name="Рисунок 104" descr="http://adilet.zan.kz/files/1193/78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dilet.zan.kz/files/1193/78/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1EF96" wp14:editId="3C70EDF0">
            <wp:extent cx="266700" cy="304800"/>
            <wp:effectExtent l="0" t="0" r="0" b="0"/>
            <wp:docPr id="103" name="Рисунок 103" descr="http://adilet.zan.kz/files/1193/78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dilet.zan.kz/files/1193/78/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назначенных инъекционных ЛС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назначенных антибиотиков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ЛС, входящих в лекарственный формуляр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Заключение*: назначение лекарственных средств обосновано / не обосновано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____. _____________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____г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 - клинический фармаколог: 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       (подпись)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Количественная оценка результатов проводится по следующим параметрам: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Каждый индикатор оценивается по 2 бальной шкале, где: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балла (ответ "да") – полное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балл (ответ "не полностью") – частичное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- 0 баллов (ответ "нет") – не соответствие индикатору.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Качественная оценка результатов проводится по шкале эквивалентов оценки, при этом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приравнивается к 100%: - 90-100% – "назначение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средств обосновано"; - &lt;90% - "назначение лекарственных средств не обосновано".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 оценки экспертизы антибиотикопрофилактики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истории болезни_____________________________________________________________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Лечащий врач__________________________________________________________________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(фамилия, инициалы)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наличии))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рождения ___. _____. _____ Пол: 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4DC9D" wp14:editId="5F7062D4">
            <wp:extent cx="266700" cy="304800"/>
            <wp:effectExtent l="0" t="0" r="0" b="0"/>
            <wp:docPr id="102" name="Рисунок 102" descr="http://adilet.zan.kz/files/1193/78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adilet.zan.kz/files/1193/78/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C3927" wp14:editId="1F797AB7">
            <wp:extent cx="266700" cy="304800"/>
            <wp:effectExtent l="0" t="0" r="0" b="0"/>
            <wp:docPr id="101" name="Рисунок 101" descr="http://adilet.zan.kz/files/1193/78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adilet.zan.kz/files/1193/78/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женский Вес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основной 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сопутствующий 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Назначенные противомикробные препараты: 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(наименования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Оценка обоснованности назначения противомикробных препаратов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полностью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назначенного противомикробного препарата диагнозу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5878A" wp14:editId="5C0D706E">
            <wp:extent cx="266700" cy="304800"/>
            <wp:effectExtent l="0" t="0" r="0" b="0"/>
            <wp:docPr id="100" name="Рисунок 100" descr="http://adilet.zan.kz/files/1193/78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dilet.zan.kz/files/1193/78/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F07C0" wp14:editId="11F917C9">
            <wp:extent cx="266700" cy="304800"/>
            <wp:effectExtent l="0" t="0" r="0" b="0"/>
            <wp:docPr id="99" name="Рисунок 99" descr="http://adilet.zan.kz/files/1193/78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adilet.zan.kz/files/1193/78/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234FE" wp14:editId="0187A5E1">
            <wp:extent cx="266700" cy="304800"/>
            <wp:effectExtent l="0" t="0" r="0" b="0"/>
            <wp:docPr id="98" name="Рисунок 98" descr="http://adilet.zan.kz/files/1193/78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adilet.zan.kz/files/1193/78/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записей о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антибиотикопрофилактике в листе назначений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365A8" wp14:editId="538FAB5C">
            <wp:extent cx="266700" cy="304800"/>
            <wp:effectExtent l="0" t="0" r="0" b="0"/>
            <wp:docPr id="97" name="Рисунок 97" descr="http://adilet.zan.kz/files/1193/78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dilet.zan.kz/files/1193/78/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DB8BF" wp14:editId="28954670">
            <wp:extent cx="266700" cy="304800"/>
            <wp:effectExtent l="0" t="0" r="0" b="0"/>
            <wp:docPr id="96" name="Рисунок 96" descr="http://adilet.zan.kz/files/1193/78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adilet.zan.kz/files/1193/78/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C025F" wp14:editId="24B39529">
            <wp:extent cx="266700" cy="304800"/>
            <wp:effectExtent l="0" t="0" r="0" b="0"/>
            <wp:docPr id="95" name="Рисунок 95" descr="http://adilet.zan.kz/files/1193/78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dilet.zan.kz/files/1193/78/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дозировки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E048A" wp14:editId="4FB0E6EB">
            <wp:extent cx="266700" cy="304800"/>
            <wp:effectExtent l="0" t="0" r="0" b="0"/>
            <wp:docPr id="94" name="Рисунок 94" descr="http://adilet.zan.kz/files/1193/78/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dilet.zan.kz/files/1193/78/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79578" wp14:editId="624DFD1A">
            <wp:extent cx="266700" cy="304800"/>
            <wp:effectExtent l="0" t="0" r="0" b="0"/>
            <wp:docPr id="93" name="Рисунок 93" descr="http://adilet.zan.kz/files/1193/78/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adilet.zan.kz/files/1193/78/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3A67C" wp14:editId="7246CD4B">
            <wp:extent cx="266700" cy="304800"/>
            <wp:effectExtent l="0" t="0" r="0" b="0"/>
            <wp:docPr id="92" name="Рисунок 92" descr="http://adilet.zan.kz/files/1193/78/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adilet.zan.kz/files/1193/78/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Соответствие пути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EA5D1" wp14:editId="7B6C083B">
            <wp:extent cx="266700" cy="304800"/>
            <wp:effectExtent l="0" t="0" r="0" b="0"/>
            <wp:docPr id="91" name="Рисунок 91" descr="http://adilet.zan.kz/files/1193/78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dilet.zan.kz/files/1193/78/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4C04F" wp14:editId="51D280B9">
            <wp:extent cx="266700" cy="304800"/>
            <wp:effectExtent l="0" t="0" r="0" b="0"/>
            <wp:docPr id="90" name="Рисунок 90" descr="http://adilet.zan.kz/files/1193/78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adilet.zan.kz/files/1193/78/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113F3" wp14:editId="2587037B">
            <wp:extent cx="266700" cy="304800"/>
            <wp:effectExtent l="0" t="0" r="0" b="0"/>
            <wp:docPr id="89" name="Рисунок 89" descr="http://adilet.zan.kz/files/1193/78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adilet.zan.kz/files/1193/78/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времени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D53FC" wp14:editId="79ABBD44">
            <wp:extent cx="266700" cy="304800"/>
            <wp:effectExtent l="0" t="0" r="0" b="0"/>
            <wp:docPr id="88" name="Рисунок 88" descr="http://adilet.zan.kz/files/1193/78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adilet.zan.kz/files/1193/78/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8C7EC" wp14:editId="366A8A11">
            <wp:extent cx="266700" cy="304800"/>
            <wp:effectExtent l="0" t="0" r="0" b="0"/>
            <wp:docPr id="87" name="Рисунок 87" descr="http://adilet.zan.kz/files/1193/78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dilet.zan.kz/files/1193/78/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F8625" wp14:editId="1009F65D">
            <wp:extent cx="266700" cy="304800"/>
            <wp:effectExtent l="0" t="0" r="0" b="0"/>
            <wp:docPr id="86" name="Рисунок 86" descr="http://adilet.zan.kz/files/1193/78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adilet.zan.kz/files/1193/78/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кратности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CF4BF" wp14:editId="62862E9B">
            <wp:extent cx="266700" cy="304800"/>
            <wp:effectExtent l="0" t="0" r="0" b="0"/>
            <wp:docPr id="85" name="Рисунок 85" descr="http://adilet.zan.kz/files/1193/78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dilet.zan.kz/files/1193/78/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6EDBD" wp14:editId="14CB480D">
            <wp:extent cx="266700" cy="304800"/>
            <wp:effectExtent l="0" t="0" r="0" b="0"/>
            <wp:docPr id="84" name="Рисунок 84" descr="http://adilet.zan.kz/files/1193/78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adilet.zan.kz/files/1193/78/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7CCC6" wp14:editId="3B97AEA8">
            <wp:extent cx="266700" cy="304800"/>
            <wp:effectExtent l="0" t="0" r="0" b="0"/>
            <wp:docPr id="83" name="Рисунок 83" descr="http://adilet.zan.kz/files/1193/78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adilet.zan.kz/files/1193/78/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продолжительности антибиотикопрофилактики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43DFF" wp14:editId="349B26BF">
            <wp:extent cx="266700" cy="304800"/>
            <wp:effectExtent l="0" t="0" r="0" b="0"/>
            <wp:docPr id="82" name="Рисунок 82" descr="http://adilet.zan.kz/files/1193/78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adilet.zan.kz/files/1193/78/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A2F53" wp14:editId="506656FF">
            <wp:extent cx="266700" cy="304800"/>
            <wp:effectExtent l="0" t="0" r="0" b="0"/>
            <wp:docPr id="81" name="Рисунок 81" descr="http://adilet.zan.kz/files/1193/78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dilet.zan.kz/files/1193/78/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4584C" wp14:editId="6A5BFF0C">
            <wp:extent cx="266700" cy="304800"/>
            <wp:effectExtent l="0" t="0" r="0" b="0"/>
            <wp:docPr id="80" name="Рисунок 80" descr="http://adilet.zan.kz/files/1193/78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adilet.zan.kz/files/1193/78/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Заключение*: принципы антибиотикопрофилактики соблюдены / не соблюдены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____. _____________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____г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 - клинический фармаколог:_________________________________________ 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       (подпись)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Заведующий отделения: ________________________________________________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       (подпись)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Количественная оценка результатов проводится по следующим параметрам: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Каждый индикатор оценивается по 2 бальной шкале, где: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балла (ответ "да") – полное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балл (ответ "не полностью") – частичное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- 0 баллов (ответ "нет") – не соответствие индикатору.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Качественная оценка результатов проводится по шкале эквивалентов оценки, при этом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приравнивается к 100%: - 90-100% – "принципы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антибиотикопрофилактики соблюдены"; - &lt;90% – "принципы антибиотикопрофилактики не соблюдены".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оценки экспертизы антибиотикотерапии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истории болезни_______________________________________________________________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Лечащий врач____________________________________________________________________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(фамилия, инициалы)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наличии))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рождения ___. ______. _____ Пол: 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46C57" wp14:editId="4FCD2A02">
            <wp:extent cx="266700" cy="304800"/>
            <wp:effectExtent l="0" t="0" r="0" b="0"/>
            <wp:docPr id="79" name="Рисунок 79" descr="http://adilet.zan.kz/files/1193/78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adilet.zan.kz/files/1193/78/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177DB" wp14:editId="5AEFB9F7">
            <wp:extent cx="266700" cy="304800"/>
            <wp:effectExtent l="0" t="0" r="0" b="0"/>
            <wp:docPr id="78" name="Рисунок 78" descr="http://adilet.zan.kz/files/1193/78/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adilet.zan.kz/files/1193/78/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Вес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основной 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 сопутствующий 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Назначенные противомикробные препараты: 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(наименования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Оценка обоснованности назначения противомикробных препаратов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полностью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назначенного противомикробного препарата диагнозу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E156B" wp14:editId="4C4877CC">
            <wp:extent cx="266700" cy="304800"/>
            <wp:effectExtent l="0" t="0" r="0" b="0"/>
            <wp:docPr id="77" name="Рисунок 77" descr="http://adilet.zan.kz/files/1193/78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adilet.zan.kz/files/1193/78/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8A35B" wp14:editId="190F9029">
            <wp:extent cx="266700" cy="304800"/>
            <wp:effectExtent l="0" t="0" r="0" b="0"/>
            <wp:docPr id="76" name="Рисунок 76" descr="http://adilet.zan.kz/files/1193/78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adilet.zan.kz/files/1193/78/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A2DEB" wp14:editId="58604C9D">
            <wp:extent cx="266700" cy="304800"/>
            <wp:effectExtent l="0" t="0" r="0" b="0"/>
            <wp:docPr id="75" name="Рисунок 75" descr="http://adilet.zan.kz/files/1193/78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adilet.zan.kz/files/1193/78/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курса лечения диагнозу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7FE60" wp14:editId="0D966C77">
            <wp:extent cx="266700" cy="304800"/>
            <wp:effectExtent l="0" t="0" r="0" b="0"/>
            <wp:docPr id="74" name="Рисунок 74" descr="http://adilet.zan.kz/files/1193/78/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adilet.zan.kz/files/1193/78/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BBE90" wp14:editId="495A7B88">
            <wp:extent cx="266700" cy="304800"/>
            <wp:effectExtent l="0" t="0" r="0" b="0"/>
            <wp:docPr id="73" name="Рисунок 73" descr="http://adilet.zan.kz/files/1193/78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dilet.zan.kz/files/1193/78/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F111" wp14:editId="0FC9D8CB">
            <wp:extent cx="266700" cy="304800"/>
            <wp:effectExtent l="0" t="0" r="0" b="0"/>
            <wp:docPr id="72" name="Рисунок 72" descr="http://adilet.zan.kz/files/1193/78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adilet.zan.kz/files/1193/78/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дозировки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E9F63" wp14:editId="73858948">
            <wp:extent cx="266700" cy="304800"/>
            <wp:effectExtent l="0" t="0" r="0" b="0"/>
            <wp:docPr id="71" name="Рисунок 71" descr="http://adilet.zan.kz/files/1193/78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adilet.zan.kz/files/1193/78/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073B5" wp14:editId="7793DDF6">
            <wp:extent cx="266700" cy="304800"/>
            <wp:effectExtent l="0" t="0" r="0" b="0"/>
            <wp:docPr id="70" name="Рисунок 70" descr="http://adilet.zan.kz/files/1193/78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adilet.zan.kz/files/1193/78/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72631" wp14:editId="53412182">
            <wp:extent cx="266700" cy="304800"/>
            <wp:effectExtent l="0" t="0" r="0" b="0"/>
            <wp:docPr id="69" name="Рисунок 69" descr="http://adilet.zan.kz/files/1193/78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adilet.zan.kz/files/1193/78/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пути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F4DE0" wp14:editId="544B2F17">
            <wp:extent cx="266700" cy="304800"/>
            <wp:effectExtent l="0" t="0" r="0" b="0"/>
            <wp:docPr id="68" name="Рисунок 68" descr="http://adilet.zan.kz/files/1193/78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adilet.zan.kz/files/1193/78/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A5F58" wp14:editId="1D089294">
            <wp:extent cx="266700" cy="304800"/>
            <wp:effectExtent l="0" t="0" r="0" b="0"/>
            <wp:docPr id="67" name="Рисунок 67" descr="http://adilet.zan.kz/files/1193/78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adilet.zan.kz/files/1193/78/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C08E9" wp14:editId="361EC7FC">
            <wp:extent cx="266700" cy="304800"/>
            <wp:effectExtent l="0" t="0" r="0" b="0"/>
            <wp:docPr id="66" name="Рисунок 66" descr="http://adilet.zan.kz/files/1193/78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adilet.zan.kz/files/1193/78/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времени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AD368" wp14:editId="2CBD13D9">
            <wp:extent cx="266700" cy="304800"/>
            <wp:effectExtent l="0" t="0" r="0" b="0"/>
            <wp:docPr id="65" name="Рисунок 65" descr="http://adilet.zan.kz/files/1193/78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adilet.zan.kz/files/1193/78/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AF4837" wp14:editId="1B7264C3">
            <wp:extent cx="266700" cy="304800"/>
            <wp:effectExtent l="0" t="0" r="0" b="0"/>
            <wp:docPr id="64" name="Рисунок 64" descr="http://adilet.zan.kz/files/1193/78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adilet.zan.kz/files/1193/78/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04D35" wp14:editId="50EE9EDA">
            <wp:extent cx="266700" cy="304800"/>
            <wp:effectExtent l="0" t="0" r="0" b="0"/>
            <wp:docPr id="63" name="Рисунок 63" descr="http://adilet.zan.kz/files/1193/78/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adilet.zan.kz/files/1193/78/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кратности введения противомикробного препарата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0FEAA" wp14:editId="5746A80F">
            <wp:extent cx="266700" cy="304800"/>
            <wp:effectExtent l="0" t="0" r="0" b="0"/>
            <wp:docPr id="62" name="Рисунок 62" descr="http://adilet.zan.kz/files/1193/78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adilet.zan.kz/files/1193/78/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A1B4B" wp14:editId="34E5EFE7">
            <wp:extent cx="266700" cy="304800"/>
            <wp:effectExtent l="0" t="0" r="0" b="0"/>
            <wp:docPr id="61" name="Рисунок 61" descr="http://adilet.zan.kz/files/1193/78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adilet.zan.kz/files/1193/78/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313AB8" wp14:editId="1FA6A1D4">
            <wp:extent cx="266700" cy="304800"/>
            <wp:effectExtent l="0" t="0" r="0" b="0"/>
            <wp:docPr id="60" name="Рисунок 60" descr="http://adilet.zan.kz/files/1193/78/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adilet.zan.kz/files/1193/78/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клинических симптомов инфицирования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AF497" wp14:editId="11A63600">
            <wp:extent cx="266700" cy="304800"/>
            <wp:effectExtent l="0" t="0" r="0" b="0"/>
            <wp:docPr id="59" name="Рисунок 59" descr="http://adilet.zan.kz/files/1193/78/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adilet.zan.kz/files/1193/78/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25C1E" wp14:editId="2E44B4A1">
            <wp:extent cx="266700" cy="304800"/>
            <wp:effectExtent l="0" t="0" r="0" b="0"/>
            <wp:docPr id="58" name="Рисунок 58" descr="http://adilet.zan.kz/files/1193/78/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adilet.zan.kz/files/1193/78/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25424" wp14:editId="4BF29FC6">
            <wp:extent cx="266700" cy="304800"/>
            <wp:effectExtent l="0" t="0" r="0" b="0"/>
            <wp:docPr id="57" name="Рисунок 57" descr="http://adilet.zan.kz/files/1193/78/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adilet.zan.kz/files/1193/78/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изменений в анализе крови (лейкоцитоз, СОЭ, СРБ, сдвиг лейкоцитарной формулы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влево) / в анализе мочи, свидетельствующих о наличии воспаления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85FB3" wp14:editId="2EAC17AA">
            <wp:extent cx="266700" cy="304800"/>
            <wp:effectExtent l="0" t="0" r="0" b="0"/>
            <wp:docPr id="56" name="Рисунок 56" descr="http://adilet.zan.kz/files/1193/78/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adilet.zan.kz/files/1193/78/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4B318" wp14:editId="04276D80">
            <wp:extent cx="266700" cy="304800"/>
            <wp:effectExtent l="0" t="0" r="0" b="0"/>
            <wp:docPr id="55" name="Рисунок 55" descr="http://adilet.zan.kz/files/1193/78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adilet.zan.kz/files/1193/78/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06970" wp14:editId="5FF9F8C1">
            <wp:extent cx="266700" cy="304800"/>
            <wp:effectExtent l="0" t="0" r="0" b="0"/>
            <wp:docPr id="54" name="Рисунок 54" descr="http://adilet.zan.kz/files/1193/78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adilet.zan.kz/files/1193/78/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микробиологического анализа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8E2C0" wp14:editId="1CAFA30A">
            <wp:extent cx="266700" cy="304800"/>
            <wp:effectExtent l="0" t="0" r="0" b="0"/>
            <wp:docPr id="53" name="Рисунок 53" descr="http://adilet.zan.kz/files/1193/78/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adilet.zan.kz/files/1193/78/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E6E75" wp14:editId="59B03E57">
            <wp:extent cx="266700" cy="304800"/>
            <wp:effectExtent l="0" t="0" r="0" b="0"/>
            <wp:docPr id="52" name="Рисунок 52" descr="http://adilet.zan.kz/files/1193/78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adilet.zan.kz/files/1193/78/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48684" wp14:editId="1AB959E9">
            <wp:extent cx="266700" cy="304800"/>
            <wp:effectExtent l="0" t="0" r="0" b="0"/>
            <wp:docPr id="51" name="Рисунок 51" descr="http://adilet.zan.kz/files/1193/78/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adilet.zan.kz/files/1193/78/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Наличие микробной флоры в микробиологическом анализе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- указать штамм и титр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BAFEF5" wp14:editId="47D3E980">
            <wp:extent cx="266700" cy="304800"/>
            <wp:effectExtent l="0" t="0" r="0" b="0"/>
            <wp:docPr id="50" name="Рисунок 50" descr="http://adilet.zan.kz/files/1193/78/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adilet.zan.kz/files/1193/78/1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1ADF1" wp14:editId="666AB33E">
            <wp:extent cx="266700" cy="304800"/>
            <wp:effectExtent l="0" t="0" r="0" b="0"/>
            <wp:docPr id="49" name="Рисунок 49" descr="http://adilet.zan.kz/files/1193/78/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adilet.zan.kz/files/1193/78/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B304F" wp14:editId="792917EB">
            <wp:extent cx="266700" cy="304800"/>
            <wp:effectExtent l="0" t="0" r="0" b="0"/>
            <wp:docPr id="48" name="Рисунок 48" descr="http://adilet.zan.kz/files/1193/78/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adilet.zan.kz/files/1193/78/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чувствительности выделенного штамма к назначенном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-ым) противомикробному препарату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78EAE" wp14:editId="437969E0">
            <wp:extent cx="266700" cy="304800"/>
            <wp:effectExtent l="0" t="0" r="0" b="0"/>
            <wp:docPr id="47" name="Рисунок 47" descr="http://adilet.zan.kz/files/1193/78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adilet.zan.kz/files/1193/78/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F86DA" wp14:editId="51450FD1">
            <wp:extent cx="266700" cy="304800"/>
            <wp:effectExtent l="0" t="0" r="0" b="0"/>
            <wp:docPr id="46" name="Рисунок 46" descr="http://adilet.zan.kz/files/1193/78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adilet.zan.kz/files/1193/78/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CAEB9" wp14:editId="0747DB55">
            <wp:extent cx="266700" cy="304800"/>
            <wp:effectExtent l="0" t="0" r="0" b="0"/>
            <wp:docPr id="45" name="Рисунок 45" descr="http://adilet.zan.kz/files/1193/78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adilet.zan.kz/files/1193/78/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Достижение выздоровления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60379" wp14:editId="63B0309E">
            <wp:extent cx="266700" cy="304800"/>
            <wp:effectExtent l="0" t="0" r="0" b="0"/>
            <wp:docPr id="44" name="Рисунок 44" descr="http://adilet.zan.kz/files/1193/78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adilet.zan.kz/files/1193/78/1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5FA4E" wp14:editId="0CA08B88">
            <wp:extent cx="266700" cy="304800"/>
            <wp:effectExtent l="0" t="0" r="0" b="0"/>
            <wp:docPr id="43" name="Рисунок 43" descr="http://adilet.zan.kz/files/1193/78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adilet.zan.kz/files/1193/78/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5AA5D" wp14:editId="08356FFB">
            <wp:extent cx="266700" cy="304800"/>
            <wp:effectExtent l="0" t="0" r="0" b="0"/>
            <wp:docPr id="42" name="Рисунок 42" descr="http://adilet.zan.kz/files/1193/78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adilet.zan.kz/files/1193/78/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Заключение*: антибиотикотерапия рациональна / нерациональна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____. _____________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____г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 - клинический фармаколог: 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       (подпись)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отделения: 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наличии))       (подпись)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Количественная оценка результатов проводится по следующим параметрам: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Каждый индикатор оценивается по 2 бальной шкале, где: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балла (ответ "да") – полное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 балл (ответ "не полностью") – частичное соответствие индикатору;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- 0 баллов (ответ "нет") – не соответствие индикатору.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Качественная оценка результатов проводится по шкале эквивалентов оценки, при этом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максимальное количество баллов приравнивается к 100%: - 90-100% – "антибиотикотерапия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рациональна"; - &lt;90% – "антибиотикотерапия нерациональна".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F336B" w:rsidRPr="00BF336B" w:rsidTr="00BF336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15"/>
            <w:bookmarkEnd w:id="3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рационального использования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</w:p>
        </w:tc>
      </w:tr>
    </w:tbl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– сообщение о медикаментозных ошибках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подозрении на медикаментозную ошибку просьба заполнить данную форму-сообщение.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заполните максимально полно все разделы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/черной шариковой ручкой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компьютере). Сведения о пациенте и лице, предоставившем форму-сообщение, останутся конфиденциальными.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лице, заполнившем форму – сообщение о медикаментозных ошибках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при наличии)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Телефон / Факс (включая код местности) 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59A86" wp14:editId="28D5ABD9">
            <wp:extent cx="266700" cy="304800"/>
            <wp:effectExtent l="0" t="0" r="0" b="0"/>
            <wp:docPr id="41" name="Рисунок 41" descr="http://adilet.zan.kz/files/1193/78/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adilet.zan.kz/files/1193/78/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E5AE8" wp14:editId="15623D2B">
            <wp:extent cx="266700" cy="304800"/>
            <wp:effectExtent l="0" t="0" r="0" b="0"/>
            <wp:docPr id="40" name="Рисунок 40" descr="http://adilet.zan.kz/files/1193/78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adilet.zan.kz/files/1193/78/1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естра (брат)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147A6" wp14:editId="1BB6B1E1">
            <wp:extent cx="266700" cy="304800"/>
            <wp:effectExtent l="0" t="0" r="0" b="0"/>
            <wp:docPr id="39" name="Рисунок 39" descr="http://adilet.zan.kz/files/1193/78/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adilet.zan.kz/files/1193/78/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2C0E8" wp14:editId="123F58A7">
            <wp:extent cx="266700" cy="304800"/>
            <wp:effectExtent l="0" t="0" r="0" b="0"/>
            <wp:docPr id="38" name="Рисунок 38" descr="http://adilet.zan.kz/files/1193/78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adilet.zan.kz/files/1193/78/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8C660" wp14:editId="541F2432">
            <wp:extent cx="266700" cy="304800"/>
            <wp:effectExtent l="0" t="0" r="0" b="0"/>
            <wp:docPr id="37" name="Рисунок 37" descr="http://adilet.zan.kz/files/1193/78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adilet.zan.kz/files/1193/78/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др.:____________________________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пациенте, перенесшем нежелательную реакцию вследствие медикаментозной ошибки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Кто перенес нежелательную реакцию?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(Фамилия, имя, отчество (при наличии))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Пол: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C6B67" wp14:editId="5C713511">
            <wp:extent cx="266700" cy="304800"/>
            <wp:effectExtent l="0" t="0" r="0" b="0"/>
            <wp:docPr id="36" name="Рисунок 36" descr="http://adilet.zan.kz/files/1193/78/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adilet.zan.kz/files/1193/78/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DC788" wp14:editId="71AC9DFF">
            <wp:extent cx="266700" cy="304800"/>
            <wp:effectExtent l="0" t="0" r="0" b="0"/>
            <wp:docPr id="35" name="Рисунок 35" descr="http://adilet.zan.kz/files/1193/78/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adilet.zan.kz/files/1193/78/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3.Дата рождения 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(дата, месяц, год)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Вес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 5.Рост (см)_________________________________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Дата и время совершения медикаментозной ошибки 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(дата, месяц, год, час: минута)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Место совершения медикаментозной ошибки: 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(если важно: отделение, кабинет и др.)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Особенности из анамнеза пациента: 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62791" wp14:editId="669896C0">
            <wp:extent cx="266700" cy="304800"/>
            <wp:effectExtent l="0" t="0" r="0" b="0"/>
            <wp:docPr id="34" name="Рисунок 34" descr="http://adilet.zan.kz/files/1193/78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adilet.zan.kz/files/1193/78/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аллергия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C42FB" wp14:editId="4B025AFE">
            <wp:extent cx="266700" cy="304800"/>
            <wp:effectExtent l="0" t="0" r="0" b="0"/>
            <wp:docPr id="33" name="Рисунок 33" descr="http://adilet.zan.kz/files/1193/78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adilet.zan.kz/files/1193/78/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 ___ недель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9AAE0" wp14:editId="54CD1CBB">
            <wp:extent cx="266700" cy="304800"/>
            <wp:effectExtent l="0" t="0" r="0" b="0"/>
            <wp:docPr id="32" name="Рисунок 32" descr="http://adilet.zan.kz/files/1193/78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adilet.zan.kz/files/1193/78/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почек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4051A" wp14:editId="6FD4A81C">
            <wp:extent cx="266700" cy="304800"/>
            <wp:effectExtent l="0" t="0" r="0" b="0"/>
            <wp:docPr id="31" name="Рисунок 31" descr="http://adilet.zan.kz/files/1193/78/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adilet.zan.kz/files/1193/78/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печени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Привела ли выявленная медикаментозная ошибка к любой из следующих последствий: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22911" wp14:editId="212E446C">
            <wp:extent cx="266700" cy="304800"/>
            <wp:effectExtent l="0" t="0" r="0" b="0"/>
            <wp:docPr id="30" name="Рисунок 30" descr="http://adilet.zan.kz/files/1193/78/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adilet.zan.kz/files/1193/78/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вреда здоровью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03B582" wp14:editId="345700A3">
            <wp:extent cx="266700" cy="304800"/>
            <wp:effectExtent l="0" t="0" r="0" b="0"/>
            <wp:docPr id="29" name="Рисунок 29" descr="http://adilet.zan.kz/files/1193/78/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adilet.zan.kz/files/1193/78/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помощь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(холод, повязка, обработка)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040D7" wp14:editId="5284207E">
            <wp:extent cx="266700" cy="304800"/>
            <wp:effectExtent l="0" t="0" r="0" b="0"/>
            <wp:docPr id="28" name="Рисунок 28" descr="http://adilet.zan.kz/files/1193/78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adilet.zan.kz/files/1193/78/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Наложены шины, швы или подобное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F57F1" wp14:editId="603D8E0B">
            <wp:extent cx="266700" cy="304800"/>
            <wp:effectExtent l="0" t="0" r="0" b="0"/>
            <wp:docPr id="27" name="Рисунок 27" descr="http://adilet.zan.kz/files/1193/78/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adilet.zan.kz/files/1193/78/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F1F80" wp14:editId="0BE853BC">
            <wp:extent cx="266700" cy="304800"/>
            <wp:effectExtent l="0" t="0" r="0" b="0"/>
            <wp:docPr id="26" name="Рисунок 26" descr="http://adilet.zan.kz/files/1193/78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adilet.zan.kz/files/1193/78/1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10BCA" wp14:editId="568E42F0">
            <wp:extent cx="266700" cy="304800"/>
            <wp:effectExtent l="0" t="0" r="0" b="0"/>
            <wp:docPr id="25" name="Рисунок 25" descr="http://adilet.zan.kz/files/1193/78/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adilet.zan.kz/files/1193/78/1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госпитализации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AC316" wp14:editId="740AEAEC">
            <wp:extent cx="266700" cy="304800"/>
            <wp:effectExtent l="0" t="0" r="0" b="0"/>
            <wp:docPr id="24" name="Рисунок 24" descr="http://adilet.zan.kz/files/1193/78/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adilet.zan.kz/files/1193/78/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 терапия (реанимация)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E347F5" wp14:editId="674C7551">
            <wp:extent cx="266700" cy="304800"/>
            <wp:effectExtent l="0" t="0" r="0" b="0"/>
            <wp:docPr id="23" name="Рисунок 23" descr="http://adilet.zan.kz/files/1193/78/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adilet.zan.kz/files/1193/78/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по болезни (больничный лист)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D932B" wp14:editId="0443C44C">
            <wp:extent cx="266700" cy="304800"/>
            <wp:effectExtent l="0" t="0" r="0" b="0"/>
            <wp:docPr id="22" name="Рисунок 22" descr="http://adilet.zan.kz/files/1193/78/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adilet.zan.kz/files/1193/78/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E4BD6" wp14:editId="23401B5F">
            <wp:extent cx="266700" cy="304800"/>
            <wp:effectExtent l="0" t="0" r="0" b="0"/>
            <wp:docPr id="21" name="Рисунок 21" descr="http://adilet.zan.kz/files/1193/78/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adilet.zan.kz/files/1193/78/1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 _______________________________________________________________________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6E20D" wp14:editId="1EFB050F">
            <wp:extent cx="266700" cy="304800"/>
            <wp:effectExtent l="0" t="0" r="0" b="0"/>
            <wp:docPr id="20" name="Рисунок 20" descr="http://adilet.zan.kz/files/1193/78/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adilet.zan.kz/files/1193/78/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DDF80" wp14:editId="0C73FD2E">
            <wp:extent cx="266700" cy="304800"/>
            <wp:effectExtent l="0" t="0" r="0" b="0"/>
            <wp:docPr id="19" name="Рисунок 19" descr="http://adilet.zan.kz/files/1193/78/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adilet.zan.kz/files/1193/78/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одна из выше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подозреваемой медикаментозной ошибке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BF3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Связанные с назначением лекарственного средства: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Пациенту назначено ЛС: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492B8" wp14:editId="083D81DA">
            <wp:extent cx="266700" cy="304800"/>
            <wp:effectExtent l="0" t="0" r="0" b="0"/>
            <wp:docPr id="18" name="Рисунок 18" descr="http://adilet.zan.kz/files/1193/78/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adilet.zan.kz/files/1193/78/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показанию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B35FA" wp14:editId="554290FC">
            <wp:extent cx="266700" cy="304800"/>
            <wp:effectExtent l="0" t="0" r="0" b="0"/>
            <wp:docPr id="17" name="Рисунок 17" descr="http://adilet.zan.kz/files/1193/78/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adilet.zan.kz/files/1193/78/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противопоказаний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0F33A" wp14:editId="063FF68E">
            <wp:extent cx="266700" cy="304800"/>
            <wp:effectExtent l="0" t="0" r="0" b="0"/>
            <wp:docPr id="16" name="Рисунок 16" descr="http://adilet.zan.kz/files/1193/78/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adilet.zan.kz/files/1193/78/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корректная доза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24A13" wp14:editId="2A40A65A">
            <wp:extent cx="266700" cy="304800"/>
            <wp:effectExtent l="0" t="0" r="0" b="0"/>
            <wp:docPr id="15" name="Рисунок 15" descr="http://adilet.zan.kz/files/1193/78/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adilet.zan.kz/files/1193/78/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корректный способ применения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A904F" wp14:editId="1ABED05D">
            <wp:extent cx="266700" cy="304800"/>
            <wp:effectExtent l="0" t="0" r="0" b="0"/>
            <wp:docPr id="14" name="Рисунок 14" descr="http://adilet.zan.kz/files/1193/78/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adilet.zan.kz/files/1193/78/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корректная скорость, время и частота введения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C32F7" wp14:editId="774BE387">
            <wp:extent cx="266700" cy="304800"/>
            <wp:effectExtent l="0" t="0" r="0" b="0"/>
            <wp:docPr id="13" name="Рисунок 13" descr="http://adilet.zan.kz/files/1193/78/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adilet.zan.kz/files/1193/78/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учета взаимодействия с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ЛС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Наличие / отсутствие ЛС в Лекарственном формуляре организации здравоохранения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Неразборчивый почерк врача /непонятная аббревиатура (сокращение) 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Назначение написано не полностью (не отражены форма выпуска, дозировка, способ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применения) ЛС 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назначении не учтено физиологическое состояние пациента, сопутствующие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 и прием других ЛС 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(сопутствующее заболевание, наименования принимаемых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Назначено ЛС при наличии у пациента аллергии на данное ЛС______________________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Предоставлена некорректная информация пациенту о ЛС (показания, способ применения,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противопоказания, особые случаи применения, нежелательные реакции)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Связанные с введением препаратов: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Пациенту было введено: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49BEB" wp14:editId="6FBE532C">
            <wp:extent cx="266700" cy="304800"/>
            <wp:effectExtent l="0" t="0" r="0" b="0"/>
            <wp:docPr id="12" name="Рисунок 12" descr="http://adilet.zan.kz/files/1193/78/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adilet.zan.kz/files/1193/78/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назначенное ЛС_________________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ЛС, доза, форма выпуска)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99FCA" wp14:editId="01C3FC4D">
            <wp:extent cx="266700" cy="304800"/>
            <wp:effectExtent l="0" t="0" r="0" b="0"/>
            <wp:docPr id="11" name="Рисунок 11" descr="http://adilet.zan.kz/files/1193/78/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adilet.zan.kz/files/1193/78/1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доза 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(указать)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2C973" wp14:editId="23E71274">
            <wp:extent cx="266700" cy="304800"/>
            <wp:effectExtent l="0" t="0" r="0" b="0"/>
            <wp:docPr id="10" name="Рисунок 10" descr="http://adilet.zan.kz/files/1193/78/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adilet.zan.kz/files/1193/78/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неверный путь введения______________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(указать)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BB62B" wp14:editId="26487B25">
            <wp:extent cx="266700" cy="304800"/>
            <wp:effectExtent l="0" t="0" r="0" b="0"/>
            <wp:docPr id="9" name="Рисунок 9" descr="http://adilet.zan.kz/files/1193/78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adilet.zan.kz/files/1193/78/1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скорость введения ЛС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90718" wp14:editId="0081F698">
            <wp:extent cx="266700" cy="304800"/>
            <wp:effectExtent l="0" t="0" r="0" b="0"/>
            <wp:docPr id="8" name="Рисунок 8" descr="http://adilet.zan.kz/files/1193/78/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adilet.zan.kz/files/1193/78/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просроченное ЛС 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ЛС, доза, форма выпуска, срок годности)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Пациенту не было введено назначенное ЛС 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хранением и подготовкой препаратов: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DD4A7" wp14:editId="1D33BD53">
            <wp:extent cx="266700" cy="304800"/>
            <wp:effectExtent l="0" t="0" r="0" b="0"/>
            <wp:docPr id="7" name="Рисунок 7" descr="http://adilet.zan.kz/files/1193/78/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adilet.zan.kz/files/1193/78/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ЛС были неправильно подготовлены (разведены, разделены)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2D009" wp14:editId="5223D846">
            <wp:extent cx="266700" cy="304800"/>
            <wp:effectExtent l="0" t="0" r="0" b="0"/>
            <wp:docPr id="6" name="Рисунок 6" descr="http://adilet.zan.kz/files/1193/78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adilet.zan.kz/files/1193/78/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соблюдены условия хранения ЛС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CE646" wp14:editId="098AD40A">
            <wp:extent cx="266700" cy="304800"/>
            <wp:effectExtent l="0" t="0" r="0" b="0"/>
            <wp:docPr id="5" name="Рисунок 5" descr="http://adilet.zan.kz/files/1193/78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adilet.zan.kz/files/1193/78/1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Отсутствует маркировка Л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этикетки или обозначения)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5377C" wp14:editId="335E5E33">
            <wp:extent cx="266700" cy="304800"/>
            <wp:effectExtent l="0" t="0" r="0" b="0"/>
            <wp:docPr id="4" name="Рисунок 4" descr="http://adilet.zan.kz/files/1193/78/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adilet.zan.kz/files/1193/78/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маркировка (обозначение, этикетка)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 / отпущено: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508F50" wp14:editId="1B96C02A">
            <wp:extent cx="266700" cy="304800"/>
            <wp:effectExtent l="0" t="0" r="0" b="0"/>
            <wp:docPr id="3" name="Рисунок 3" descr="http://adilet.zan.kz/files/1193/78/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adilet.zan.kz/files/1193/78/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назначенное) ЛС в похожей упаковке (ошиблись по внешнему виду)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56C568" wp14:editId="78DFD875">
            <wp:extent cx="266700" cy="304800"/>
            <wp:effectExtent l="0" t="0" r="0" b="0"/>
            <wp:docPr id="2" name="Рисунок 2" descr="http://adilet.zan.kz/files/1193/78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adilet.zan.kz/files/1193/78/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назначенное) ЛС с похожим названием (ошиблись по названию)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FEAC1" wp14:editId="4C5DC2DB">
            <wp:extent cx="266700" cy="304800"/>
            <wp:effectExtent l="0" t="0" r="0" b="0"/>
            <wp:docPr id="1" name="Рисунок 1" descr="http://adilet.zan.kz/files/1193/78/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adilet.zan.kz/files/1193/78/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6B" w:rsidRPr="00BF336B" w:rsidRDefault="00BF336B" w:rsidP="00E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ЛС в другой дозировке, форме выпуска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(описать выбранную ошибку)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F336B" w:rsidRPr="00BF336B" w:rsidTr="00BF336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20"/>
            <w:bookmarkEnd w:id="4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рационального использования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</w:p>
        </w:tc>
      </w:tr>
    </w:tbl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оценки рационального использования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организаций, оказывающих стационарную помощь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№ Наименование индикаторов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достижение индикаторов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Документы, представляемые для внешней оценки Шкала оценок*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 2 3 4 5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структуры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 Наличие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 Приказ о создании Формулярной комиссии;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Положение и план работы Формулярной комиссии на текущий год;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Приказ о составе/структуре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 Наличие в составе Формулярной комиссии клинического фармаколога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 Приказ о назначении на должность клинического фармаколога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 Наличие медицинской информационной системы (МИС), обеспечивающей доступ к данным о пациенте (в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медикаментозным назначениям) в текущем режиме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заведующий аптекой Медицинская информационная систем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МИС), обеспечивающая доступ к данным о пациенте (в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медикаментозным назначениям) в текущем режиме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 Наличие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использованию противомикробных препаратов Председатель формулярной комиссии, микробиолог,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эпидемиолог,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клинический фармаколог, заведующий аптекой Приказ о создании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 Наличие службы для проведения мониторинга обоснованности назначений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 о составе службы по мониторингу назначений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заведующий аптекой СОП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 Регистрация нежелательных реакций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едседатель формулярной комиссии, клинический фармаколог, заведующий аптекой, заведующие отделений Приказ о назначении ответственного лица за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; журнал о регистрации нежелательных реакций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 Наличие системы сбора и мониторинга медикаментозных ошибок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эпидемиолог,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Формы-сообщения о медикаментозных ошибках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процесса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достоверным источникам информации о лекарственных средствах (КНФ и др.)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 Наличие обоснованной потребности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лекарственных средствах для включения в лекарственный формуляр с учетом данных о структуре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 Функционирование системы инфекционного контроля Председатель формулярной комиссии,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микробиолог,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эпидемиолог,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клинический фармаколог, заведующий аптекой Протоколы заседаний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использованию противомикробных препаратов; направления на бактериологический посев;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Анализ заболеваемости внутрибольничными инфекциями, алгоритм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 Функционирование системы регистрации нежелательных реакций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Председатель формулярной комиссии, клинический фармаколог, заведующий аптекой,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 / документированная процедура / рабочая инструкция, определяющая порядок регистрации нежелательных реакций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регистрации нежелательных реакций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 Функционирование мониторинга введения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назначений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 Функционирование системы мониторинга медикаментозных ошибок.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заведующая аптекой,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внутреннего аудита;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Мероприятия, в случае выявления медикаментозных ошибок (СОП)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 Функционирование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мониторинга обоснованности назначения лекарственных средств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внутреннего аудита;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План мероприятий по выявлению медикаментозных ошибок;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Назначения / записи врачей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 Периодичность проведения обучения медицинского персонала рациональному использованию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результата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 Перечисление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 Оценка знаний медицинского персонала организации здравоохранения о рациональном использовании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 Проведение оценки использования лекарственных средств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анализы) Председатель формулярной комиссии, клинический фармаколог,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заведующий аптекой Результаты проведенной оценки использования лекарственных средств (AВС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анализы)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 Доля назначения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 клинической эффективностью Председатель формулярной комиссии Назначения / записи врачей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*Количественная оценка результатов проводится по следующим параметрам: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Каждый индикатор оценивается по 2 бальной шкале, где: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- 2 балла – полное соответствие индикатору внешней оценки со всеми подтверждающими документами, все процессы исполняются;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- 0 баллов –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соответствие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индикатору внешней оценки, отсутствуют подтверждающие документы, процессы не выполняются или выполняются частично.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Суммарное количество баллов – 56.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- 90-100% – "Отлично";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- 75-89%– "Хорошо";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- 50-74%– "Удовлетворительно";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&lt;50%– "Неудовлетворительно".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F336B" w:rsidRPr="00BF336B" w:rsidTr="00BF336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F336B" w:rsidRPr="00BF336B" w:rsidRDefault="00BF336B" w:rsidP="00E34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96"/>
            <w:bookmarkEnd w:id="5"/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рационального использования</w:t>
            </w:r>
            <w:r w:rsidRPr="00BF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</w:p>
        </w:tc>
      </w:tr>
    </w:tbl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оценки использования лекарственных препаратов для организаций, оказывающих амбулаторно-поликлиническую помощь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№ Наименование индикаторов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достижение индикаторов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Документы, представляемые для внешней оценки Шкала оценок*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 2 3 4 5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структуры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 Наличие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 Приказ о создании Формулярной комиссии;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Положение и план работы Формулярной комиссии на текущий год;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 о составе/структуре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 Наличие в составе Формулярной комиссии клинического фармаколога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 Приказ о назначении на должность клинического фармаколога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 Наличие медицинской информационной системы (МИС), обеспечивающей доступ к данным о пациенте (в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медикаментозным назначениям) в текущем режиме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заведующий аптекой Медицинская информационная систем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МИС), обеспечивающая доступ к данным о пациенте (в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медикаментозным назначениям) в текущем режиме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 Наличие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использованию противомикробных препаратов Председатель формулярной комиссии, микробиолог,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эпидемиолог,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клинический фармаколог, заведующий аптекой Приказ о создании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 Наличие службы для проведения мониторинга обоснованности назначений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 о составе службы по мониторингу назначений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заведующий аптекой СОП,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 Регистрация нежелательных реакций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едседатель формулярной комиссии, клинический фармаколог, заведующая аптекой, заведующие отделений Приказ о назначении ответственного лица за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; журнал о регистрации нежелательных реакций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 Наличие системы сбора и мониторинга медикаментозных ошибок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эпидемиолог,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Формы-сообщения о медикаментозных ошибках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Индикаторы процесса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достоверным источникам информации о лекарственных средствах (КНФ и др.)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 Наличие обоснованной потребности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лекарственных средствах для включения в лекарственный формуляр с учетом данных о структуре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 Функционирование системы инфекционного контроля Председатель формулярной комиссии,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микробиолог,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эпидемиолог,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клинический фармаколог, заведующий аптекой Протоколы заседаний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использованию противомикробных препаратов; направления на бактериологический посев;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Анализ заболеваемости внутрибольничными инфекциями, алгоритм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 Функционирование системы регистрации нежелательных реакций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заведующий аптекой,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СОП, определяющая порядок регистрации нежелательных реакций лекарственных средств;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регистрации нежелательных реакций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 Функционирование мониторинга введения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назначений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 Функционирование системы мониторинга медикаментозных ошибок.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Председатель формулярной комиссии, клинический фармаколог, заведующая аптекой,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внутреннего аудита;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Мероприятия, в случае выявления медикаментозных ошибок (СОП)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 Функционирование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мониторинга обоснованности назначения лекарственных средств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формулярной комиссии, клинический фармаколог,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отделений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внутреннего аудита;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План мероприятий по выявлению медикаментозных ошибок;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Назначения / записи врачей 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 Периодичность проведения обучения медицинского персонала рациональному использованию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Индикаторы результата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 Перечисление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л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 Оценка знаний медицинского персонала организации здравоохранения о рациональном использовании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 Проведение оценки использования лекарственных средств (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анализы) Председатель формулярной комиссии, клинический фармаколог, заведующий аптекой Результаты проведенной оценки использования лекарственных средств (AВС (эй </w:t>
      </w:r>
      <w:proofErr w:type="spell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си) и VEN (вен) анализы)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  <w:proofErr w:type="gramEnd"/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 Назначение лекарственных сре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д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 клинической эффективностью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формулярной комиссии Назначения / записи врачей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 Назначение инъекционных лекарственных препаратов Председатель формулярной комиссии Назначения / записи врачей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 Назначение антибиотиков Председатель формулярной комиссии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Назначения / записи врачей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карты (дневники) пациентов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*Количественная оценка результатов проводится по следующим параметрам: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Каждый индикатор оценивается по 2 бальной шкале, где: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- 2 балла – полное соответствие индикатору внешней оценки со всеми подтверждающими документами, все процессы исполняются;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- 0 баллов – </w:t>
      </w:r>
      <w:proofErr w:type="gramStart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соответствие</w:t>
      </w:r>
      <w:proofErr w:type="gramEnd"/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индикатору внешней оценки, отсутствуют подтверждающие документы, процессы не выполняются или выполняются частично.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Суммарное количество баллов – 60.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- 90-100% – "Отлично";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- 75-89%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"Хорошо";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- 50-74%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"Удовлетворительно";</w:t>
      </w:r>
    </w:p>
    <w:p w:rsidR="00BF336B" w:rsidRPr="00BF336B" w:rsidRDefault="00BF336B" w:rsidP="00E3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&lt;50%</w:t>
      </w:r>
      <w:r w:rsidR="00E3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"Неудовлетворительно".</w:t>
      </w:r>
    </w:p>
    <w:p w:rsidR="00420B3B" w:rsidRDefault="00420B3B" w:rsidP="00E34CF9">
      <w:pPr>
        <w:jc w:val="both"/>
      </w:pPr>
    </w:p>
    <w:sectPr w:rsidR="0042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1D6"/>
    <w:multiLevelType w:val="multilevel"/>
    <w:tmpl w:val="A06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B"/>
    <w:rsid w:val="00420B3B"/>
    <w:rsid w:val="00BF336B"/>
    <w:rsid w:val="00E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3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3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36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34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3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3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36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34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8142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2019-06-05T07:54:00Z</dcterms:created>
  <dcterms:modified xsi:type="dcterms:W3CDTF">2019-06-12T07:39:00Z</dcterms:modified>
</cp:coreProperties>
</file>