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261A5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11 марта 2026 года № 32</w:t>
      </w:r>
      <w:r>
        <w:rPr>
          <w:rStyle w:val="s1"/>
        </w:rPr>
        <w:br/>
      </w:r>
      <w:r>
        <w:rPr>
          <w:rStyle w:val="s1"/>
        </w:rPr>
        <w:t>Об утверждении Правил проведения 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 xml:space="preserve">В соответствии с </w:t>
      </w:r>
      <w:hyperlink r:id="rId6" w:anchor="sub_id=55010303" w:history="1">
        <w:r>
          <w:rPr>
            <w:rStyle w:val="a4"/>
          </w:rPr>
          <w:t>подпунктом 3) пункта 3 статьи 55-1</w:t>
        </w:r>
      </w:hyperlink>
      <w:r>
        <w:rPr>
          <w:rStyle w:val="s0"/>
        </w:rPr>
        <w:t xml:space="preserve"> Закона Республики Казахстан «Об образовании»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261A5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государственной аттестации в отно</w:t>
      </w:r>
      <w:r>
        <w:rPr>
          <w:rStyle w:val="s0"/>
        </w:rPr>
        <w:t>шении организаций, реализующих образовательные программы технического и профессионального, послесреднего образования в области здравоохранения.</w:t>
      </w:r>
    </w:p>
    <w:p w:rsidR="00000000" w:rsidRDefault="001261A5">
      <w:pPr>
        <w:pStyle w:val="pj"/>
      </w:pPr>
      <w:r>
        <w:rPr>
          <w:rStyle w:val="s0"/>
        </w:rPr>
        <w:t xml:space="preserve">2. Департаменту науки и человеческих ресурсов Министерства здравоохранения Республики Казахстан в установленном </w:t>
      </w:r>
      <w:r>
        <w:rPr>
          <w:rStyle w:val="s0"/>
        </w:rPr>
        <w:t>законодательством Республики Казахстан порядке обеспечить:</w:t>
      </w:r>
    </w:p>
    <w:p w:rsidR="00000000" w:rsidRDefault="001261A5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261A5">
      <w:pPr>
        <w:pStyle w:val="pj"/>
      </w:pPr>
      <w:r>
        <w:rPr>
          <w:rStyle w:val="s0"/>
        </w:rPr>
        <w:t>2) размещение настоящего приказа на и</w:t>
      </w:r>
      <w:r>
        <w:rPr>
          <w:rStyle w:val="s0"/>
        </w:rPr>
        <w:t>нтернет-ресурсе Министерства здравоохранения Республики Казахстан после его официального опубликования;</w:t>
      </w:r>
    </w:p>
    <w:p w:rsidR="00000000" w:rsidRDefault="001261A5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</w:t>
      </w:r>
      <w:r>
        <w:rPr>
          <w:rStyle w:val="s0"/>
        </w:rPr>
        <w:t>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1261A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</w:t>
      </w:r>
      <w:r>
        <w:rPr>
          <w:rStyle w:val="s0"/>
        </w:rPr>
        <w:t>ния Республики Казахстан.</w:t>
      </w:r>
    </w:p>
    <w:p w:rsidR="00000000" w:rsidRDefault="001261A5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261A5">
            <w:pPr>
              <w:pStyle w:val="p"/>
            </w:pPr>
            <w:r>
              <w:rPr>
                <w:rStyle w:val="s0"/>
                <w:b/>
                <w:bCs/>
              </w:rPr>
              <w:t>Республик</w:t>
            </w:r>
            <w:r>
              <w:rPr>
                <w:rStyle w:val="s0"/>
                <w:b/>
                <w:bCs/>
              </w:rPr>
              <w:t>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261A5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  <w:bookmarkStart w:id="1" w:name="SUB100"/>
      <w:bookmarkEnd w:id="1"/>
    </w:p>
    <w:p w:rsidR="00000000" w:rsidRDefault="001261A5">
      <w:pPr>
        <w:pStyle w:val="pr"/>
      </w:pPr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1261A5">
      <w:pPr>
        <w:pStyle w:val="pr"/>
      </w:pPr>
      <w:r>
        <w:rPr>
          <w:rStyle w:val="s0"/>
        </w:rPr>
        <w:t>Министр здравоохранения</w:t>
      </w:r>
    </w:p>
    <w:p w:rsidR="00000000" w:rsidRDefault="001261A5">
      <w:pPr>
        <w:pStyle w:val="pr"/>
      </w:pPr>
      <w:r>
        <w:rPr>
          <w:rStyle w:val="s0"/>
        </w:rPr>
        <w:t>Республики Казахстан</w:t>
      </w:r>
    </w:p>
    <w:p w:rsidR="00000000" w:rsidRDefault="001261A5">
      <w:pPr>
        <w:pStyle w:val="pr"/>
      </w:pPr>
      <w:r>
        <w:rPr>
          <w:rStyle w:val="s0"/>
        </w:rPr>
        <w:t>от 11 марта 2026 года № 32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c"/>
        <w:spacing w:after="240"/>
      </w:pPr>
      <w:r>
        <w:rPr>
          <w:rStyle w:val="s1"/>
        </w:rPr>
        <w:t>Правила проведения</w:t>
      </w:r>
      <w:r>
        <w:rPr>
          <w:rStyle w:val="s1"/>
        </w:rPr>
        <w:br/>
      </w:r>
      <w:r>
        <w:rPr>
          <w:rStyle w:val="s1"/>
        </w:rPr>
        <w:t>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</w:t>
      </w:r>
    </w:p>
    <w:p w:rsidR="00000000" w:rsidRDefault="001261A5">
      <w:pPr>
        <w:pStyle w:val="pc"/>
      </w:pPr>
      <w:r>
        <w:rPr>
          <w:rStyle w:val="s1"/>
        </w:rPr>
        <w:t> </w:t>
      </w:r>
    </w:p>
    <w:p w:rsidR="00000000" w:rsidRDefault="001261A5">
      <w:pPr>
        <w:pStyle w:val="pc"/>
      </w:pPr>
      <w:r>
        <w:rPr>
          <w:rStyle w:val="s1"/>
        </w:rPr>
        <w:t>Глава 1. Общие положения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 xml:space="preserve">1. Настоящие Правила 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 (далее - Правила) разработаны в соответствии с </w:t>
      </w:r>
      <w:hyperlink r:id="rId9" w:anchor="sub_id=55010303" w:history="1">
        <w:r>
          <w:rPr>
            <w:rStyle w:val="a4"/>
          </w:rPr>
          <w:t>подпунктом 3) пункта 3 статьи 55-1</w:t>
        </w:r>
      </w:hyperlink>
      <w:r>
        <w:rPr>
          <w:rStyle w:val="s0"/>
        </w:rPr>
        <w:t xml:space="preserve"> Закона Республики Казахстан «Об образовании» и устанавливают порядок проведения государственной аттестации в отношении организаций, реализующих обр</w:t>
      </w:r>
      <w:r>
        <w:rPr>
          <w:rStyle w:val="s0"/>
        </w:rPr>
        <w:t xml:space="preserve">азовательные программы технического и </w:t>
      </w:r>
      <w:r>
        <w:rPr>
          <w:rStyle w:val="s0"/>
        </w:rPr>
        <w:lastRenderedPageBreak/>
        <w:t>профессионального, послесреднего образования в области здравоохранения (далее - организации ТиППО в области здравоохранения) независимо от форм собственности.</w:t>
      </w:r>
    </w:p>
    <w:p w:rsidR="00000000" w:rsidRDefault="001261A5">
      <w:pPr>
        <w:pStyle w:val="pj"/>
      </w:pPr>
      <w:r>
        <w:rPr>
          <w:rStyle w:val="s0"/>
        </w:rPr>
        <w:t>2. В настоящих Правилах применяются следующие понятия и опр</w:t>
      </w:r>
      <w:r>
        <w:rPr>
          <w:rStyle w:val="s0"/>
        </w:rPr>
        <w:t>еделения:</w:t>
      </w:r>
    </w:p>
    <w:p w:rsidR="00000000" w:rsidRDefault="001261A5">
      <w:pPr>
        <w:pStyle w:val="pj"/>
      </w:pPr>
      <w:r>
        <w:rPr>
          <w:rStyle w:val="s0"/>
        </w:rPr>
        <w:t>1) аттестационная комиссия - коллегиальный орган, уполномоченный проводить процедуру аттестации;</w:t>
      </w:r>
    </w:p>
    <w:p w:rsidR="00000000" w:rsidRDefault="001261A5">
      <w:pPr>
        <w:pStyle w:val="pj"/>
      </w:pPr>
      <w:r>
        <w:rPr>
          <w:rStyle w:val="s0"/>
        </w:rPr>
        <w:t>2) государственная аттестация организаций ТиППО в области здравоохранения - процедура комплексной оценки качества и доступности образования, направле</w:t>
      </w:r>
      <w:r>
        <w:rPr>
          <w:rStyle w:val="s0"/>
        </w:rPr>
        <w:t>нная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образования;</w:t>
      </w:r>
    </w:p>
    <w:p w:rsidR="00000000" w:rsidRDefault="001261A5">
      <w:pPr>
        <w:pStyle w:val="pj"/>
      </w:pPr>
      <w:r>
        <w:rPr>
          <w:rStyle w:val="s0"/>
        </w:rPr>
        <w:t>3) анонимный опрос - метод сбора информации, позволяющий респондентам выражать мнения без указания л</w:t>
      </w:r>
      <w:r>
        <w:rPr>
          <w:rStyle w:val="s0"/>
        </w:rPr>
        <w:t>ичных данных, обеспечивая конфиденциальность и способствуя открытости ответов.</w:t>
      </w:r>
    </w:p>
    <w:p w:rsidR="00000000" w:rsidRDefault="001261A5">
      <w:pPr>
        <w:pStyle w:val="pj"/>
      </w:pPr>
      <w:r>
        <w:rPr>
          <w:rStyle w:val="s0"/>
        </w:rPr>
        <w:t>3. Государственная аттестация организаций ТиППО в области здравоохранения проводится уполномоченным органом в области здравоохранения (далее - уполномоченный орган) один раз в п</w:t>
      </w:r>
      <w:r>
        <w:rPr>
          <w:rStyle w:val="s0"/>
        </w:rPr>
        <w:t>ять лет.</w:t>
      </w:r>
    </w:p>
    <w:p w:rsidR="00000000" w:rsidRDefault="001261A5">
      <w:pPr>
        <w:pStyle w:val="pj"/>
      </w:pPr>
      <w:r>
        <w:rPr>
          <w:rStyle w:val="s0"/>
        </w:rPr>
        <w:t>4. Первая государственная аттестация проводится во вновь созданных организациях ТиППО в области здравоохранения не позднее одного года с момента первого выпуска специалистов.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c"/>
      </w:pPr>
      <w:bookmarkStart w:id="2" w:name="SUB500"/>
      <w:bookmarkEnd w:id="2"/>
      <w:r>
        <w:rPr>
          <w:rStyle w:val="s1"/>
        </w:rPr>
        <w:t>Глава 2. Порядок организации государственной аттестации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5. Уполном</w:t>
      </w:r>
      <w:r>
        <w:rPr>
          <w:rStyle w:val="s0"/>
        </w:rPr>
        <w:t>оченный орган ежегодно до 1 ноября утверждает перечень организаций ТиППО в области здравоохранения, подлежащих государственной аттестации в текущем году, с указанием планируемых сроков проведения государственной аттестации по каждой организации ТиППО в обл</w:t>
      </w:r>
      <w:r>
        <w:rPr>
          <w:rStyle w:val="s0"/>
        </w:rPr>
        <w:t>асти здравоохранения (далее - Перечень). Государственная аттестация проводится в соответствии с указанным перечнем.</w:t>
      </w:r>
    </w:p>
    <w:p w:rsidR="00000000" w:rsidRDefault="001261A5">
      <w:pPr>
        <w:pStyle w:val="pj"/>
      </w:pPr>
      <w:r>
        <w:rPr>
          <w:rStyle w:val="s0"/>
        </w:rPr>
        <w:t>Перечень размещается в течении 5 (пяти) рабочих дней со дня утверждения на официальных интернет-ресурсах уполномоченного органа.</w:t>
      </w:r>
    </w:p>
    <w:p w:rsidR="00000000" w:rsidRDefault="001261A5">
      <w:pPr>
        <w:pStyle w:val="pj"/>
      </w:pPr>
      <w:r>
        <w:rPr>
          <w:rStyle w:val="s0"/>
        </w:rPr>
        <w:t>Внесение из</w:t>
      </w:r>
      <w:r>
        <w:rPr>
          <w:rStyle w:val="s0"/>
        </w:rPr>
        <w:t>менений в утвержденный Перечень допускается в следующих случаях:</w:t>
      </w:r>
    </w:p>
    <w:p w:rsidR="00000000" w:rsidRDefault="001261A5">
      <w:pPr>
        <w:pStyle w:val="pj"/>
      </w:pPr>
      <w:r>
        <w:rPr>
          <w:rStyle w:val="s0"/>
        </w:rPr>
        <w:t>1) заявления организации ТиППО в области здравоохранения об исключения из Перечня;</w:t>
      </w:r>
    </w:p>
    <w:p w:rsidR="00000000" w:rsidRDefault="001261A5">
      <w:pPr>
        <w:pStyle w:val="pj"/>
      </w:pPr>
      <w:r>
        <w:rPr>
          <w:rStyle w:val="s0"/>
        </w:rPr>
        <w:t xml:space="preserve">2) уведомления организации ТиППО в области здравоохранения о реорганизации, ликвидации либо приостановлении </w:t>
      </w:r>
      <w:r>
        <w:rPr>
          <w:rStyle w:val="s0"/>
        </w:rPr>
        <w:t>деятельности в порядке, установленном законодательством Республики Казахстан.</w:t>
      </w:r>
    </w:p>
    <w:p w:rsidR="00000000" w:rsidRDefault="001261A5">
      <w:pPr>
        <w:pStyle w:val="pj"/>
      </w:pPr>
      <w:r>
        <w:rPr>
          <w:rStyle w:val="s0"/>
        </w:rPr>
        <w:t>6. В течении 5 (пяти) рабочих дней со дня утверждения изменений в Перечень, уполномоченный орган размещает на официальном интернет-ресурсе обновленный Перечень и уведомляет орган</w:t>
      </w:r>
      <w:r>
        <w:rPr>
          <w:rStyle w:val="s0"/>
        </w:rPr>
        <w:t>изацию ТиППО в области здравоохранения о внесенных изменениях.</w:t>
      </w:r>
    </w:p>
    <w:p w:rsidR="00000000" w:rsidRDefault="001261A5">
      <w:pPr>
        <w:pStyle w:val="pj"/>
      </w:pPr>
      <w:r>
        <w:rPr>
          <w:rStyle w:val="s0"/>
        </w:rPr>
        <w:t>7. Организация ТиППО в области здравоохранения уведомляется о проведении государственной аттестации не позднее чем за 30 (тридцать) календарных дней до ее начала.</w:t>
      </w:r>
    </w:p>
    <w:p w:rsidR="00000000" w:rsidRDefault="001261A5">
      <w:pPr>
        <w:pStyle w:val="pj"/>
      </w:pPr>
      <w:r>
        <w:rPr>
          <w:rStyle w:val="s0"/>
        </w:rPr>
        <w:t>8. Аттестационная комиссия (да</w:t>
      </w:r>
      <w:r>
        <w:rPr>
          <w:rStyle w:val="s0"/>
        </w:rPr>
        <w:t>лее - Комиссия) создается приказом уполномоченного органа. Количество членов Комиссии должно быть нечетным и состоит из не менее 5 (пяти) членов.</w:t>
      </w:r>
    </w:p>
    <w:p w:rsidR="00000000" w:rsidRDefault="001261A5">
      <w:pPr>
        <w:pStyle w:val="pj"/>
      </w:pPr>
      <w:r>
        <w:rPr>
          <w:rStyle w:val="s0"/>
        </w:rPr>
        <w:t>В состав Комиссии входят представители:</w:t>
      </w:r>
    </w:p>
    <w:p w:rsidR="00000000" w:rsidRDefault="001261A5">
      <w:pPr>
        <w:pStyle w:val="pj"/>
      </w:pPr>
      <w:r>
        <w:rPr>
          <w:rStyle w:val="s0"/>
        </w:rPr>
        <w:t>1) уполномоченного органа;</w:t>
      </w:r>
    </w:p>
    <w:p w:rsidR="00000000" w:rsidRDefault="001261A5">
      <w:pPr>
        <w:pStyle w:val="pj"/>
      </w:pPr>
      <w:r>
        <w:rPr>
          <w:rStyle w:val="s0"/>
        </w:rPr>
        <w:t>2) государственных органов, в ведении котор</w:t>
      </w:r>
      <w:r>
        <w:rPr>
          <w:rStyle w:val="s0"/>
        </w:rPr>
        <w:t>ых находится организация ТиППО в области здравоохранения;</w:t>
      </w:r>
    </w:p>
    <w:p w:rsidR="00000000" w:rsidRDefault="001261A5">
      <w:pPr>
        <w:pStyle w:val="pj"/>
      </w:pPr>
      <w:r>
        <w:rPr>
          <w:rStyle w:val="s0"/>
        </w:rPr>
        <w:t>3) организаций образования и их объединений (ассоциаций), являющихся квалифицированными специалистами по профилю деятельности организаций ТиППО в области здравоохранения, подлежащих государственной аттестации;</w:t>
      </w:r>
    </w:p>
    <w:p w:rsidR="00000000" w:rsidRDefault="001261A5">
      <w:pPr>
        <w:pStyle w:val="pj"/>
      </w:pPr>
      <w:r>
        <w:rPr>
          <w:rStyle w:val="s0"/>
        </w:rPr>
        <w:lastRenderedPageBreak/>
        <w:t>4) медицинских организаций, учреждений по проф</w:t>
      </w:r>
      <w:r>
        <w:rPr>
          <w:rStyle w:val="s0"/>
        </w:rPr>
        <w:t>ильным направлениям.</w:t>
      </w:r>
    </w:p>
    <w:p w:rsidR="00000000" w:rsidRDefault="001261A5">
      <w:pPr>
        <w:pStyle w:val="pj"/>
      </w:pPr>
      <w:r>
        <w:rPr>
          <w:rStyle w:val="s0"/>
        </w:rPr>
        <w:t>Председателем Комиссии (далее - Председатель) решением заместителя первого руководителя уполномоченного органа, курирующий вопросы медицинской науки, образования и кадровых ресурсов отрасли здравоохранения, определяется сотрудник уполн</w:t>
      </w:r>
      <w:r>
        <w:rPr>
          <w:rStyle w:val="s0"/>
        </w:rPr>
        <w:t>омоченного органа.</w:t>
      </w:r>
    </w:p>
    <w:p w:rsidR="00000000" w:rsidRDefault="001261A5">
      <w:pPr>
        <w:pStyle w:val="pj"/>
      </w:pPr>
      <w:r>
        <w:rPr>
          <w:rStyle w:val="s0"/>
        </w:rPr>
        <w:t>9. Организация ТиППО в области здравоохранения обеспечивает необходимые условия для работы Комиссии, включая беспрепятственный доступ к помещениям, документации, информационным системам, образовательным ресурсам, а также предоставления в</w:t>
      </w:r>
      <w:r>
        <w:rPr>
          <w:rStyle w:val="s0"/>
        </w:rPr>
        <w:t>сех запрашиваемых материалов, необходимых для проведения государственной аттестации.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c"/>
      </w:pPr>
      <w:r>
        <w:rPr>
          <w:rStyle w:val="s1"/>
        </w:rPr>
        <w:t>Глава 3. Порядок проведения государственной аттестации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10. Государственная аттестация проводится с посещением организации ТиППО в области здравоохранения Комиссией в</w:t>
      </w:r>
      <w:r>
        <w:rPr>
          <w:rStyle w:val="s0"/>
        </w:rPr>
        <w:t xml:space="preserve"> срок, не превышающий 7 (семи) рабочих дней со дня проведения государственной аттестации.</w:t>
      </w:r>
    </w:p>
    <w:p w:rsidR="00000000" w:rsidRDefault="001261A5">
      <w:pPr>
        <w:pStyle w:val="pj"/>
      </w:pPr>
      <w:r>
        <w:rPr>
          <w:rStyle w:val="s0"/>
        </w:rPr>
        <w:t>Оценке подлежит деятельность организации ТиППО в области здравоохранения за два предшествующих учебных года и текущий учебный год, предшествующий дате начала государс</w:t>
      </w:r>
      <w:r>
        <w:rPr>
          <w:rStyle w:val="s0"/>
        </w:rPr>
        <w:t>твенной аттестации.</w:t>
      </w:r>
    </w:p>
    <w:p w:rsidR="00000000" w:rsidRDefault="001261A5">
      <w:pPr>
        <w:pStyle w:val="pj"/>
      </w:pPr>
      <w:bookmarkStart w:id="3" w:name="SUB1100"/>
      <w:bookmarkEnd w:id="3"/>
      <w:r>
        <w:rPr>
          <w:rStyle w:val="s0"/>
        </w:rPr>
        <w:t>11. При проведении государственной аттестации изучаются и оцениваются следующие направления деятельности организации ТиППО в области здравоохранения:</w:t>
      </w:r>
    </w:p>
    <w:p w:rsidR="00000000" w:rsidRDefault="001261A5">
      <w:pPr>
        <w:pStyle w:val="pj"/>
      </w:pPr>
      <w:r>
        <w:rPr>
          <w:rStyle w:val="s0"/>
        </w:rPr>
        <w:t>1) организационно-правовая деятельность (устав, наличие лицензии на образовательную де</w:t>
      </w:r>
      <w:r>
        <w:rPr>
          <w:rStyle w:val="s0"/>
        </w:rPr>
        <w:t>ятельность (по специальностям), сведения о последней государственной аттестации, аккредитации (сертификат), структура организации ТиППО в области здравоохранения;</w:t>
      </w:r>
    </w:p>
    <w:p w:rsidR="00000000" w:rsidRDefault="001261A5">
      <w:pPr>
        <w:pStyle w:val="pj"/>
      </w:pPr>
      <w:r>
        <w:rPr>
          <w:rStyle w:val="s0"/>
        </w:rPr>
        <w:t>2) кадровое обеспечение образовательного процесса по специальностям, включая наличие педагого</w:t>
      </w:r>
      <w:r>
        <w:rPr>
          <w:rStyle w:val="s0"/>
        </w:rPr>
        <w:t>в и наставников, мастеров производственного обучения соответствующей квалификации;</w:t>
      </w:r>
    </w:p>
    <w:p w:rsidR="00000000" w:rsidRDefault="001261A5">
      <w:pPr>
        <w:pStyle w:val="pj"/>
      </w:pPr>
      <w:r>
        <w:rPr>
          <w:rStyle w:val="s0"/>
        </w:rPr>
        <w:t>3) контингент обучающихся в разрезе специальностей (прием/выпуск);</w:t>
      </w:r>
    </w:p>
    <w:p w:rsidR="00000000" w:rsidRDefault="001261A5">
      <w:pPr>
        <w:pStyle w:val="pj"/>
      </w:pPr>
      <w:r>
        <w:rPr>
          <w:rStyle w:val="s0"/>
        </w:rPr>
        <w:t>4) организация учебного процесса (соблюдение типовых учебных планов, учебных программ, расписания), педаго</w:t>
      </w:r>
      <w:r>
        <w:rPr>
          <w:rStyle w:val="s0"/>
        </w:rPr>
        <w:t xml:space="preserve">гическая и учебная нагрузка в соответствии с требованиями </w:t>
      </w:r>
      <w:hyperlink r:id="rId10" w:history="1">
        <w:r>
          <w:rPr>
            <w:rStyle w:val="a4"/>
          </w:rPr>
          <w:t>приказов</w:t>
        </w:r>
      </w:hyperlink>
      <w:r>
        <w:rPr>
          <w:rStyle w:val="s0"/>
        </w:rPr>
        <w:t xml:space="preserve"> Министра здравоохранения Республики Казахстан от 4 июля 2022 года № ҚР ДСМ-63 «Об утверждении государственных общеобязате</w:t>
      </w:r>
      <w:r>
        <w:rPr>
          <w:rStyle w:val="s0"/>
        </w:rPr>
        <w:t>льных стандартов по уровням образования в области здравоохранения» (зарегистрирован в Реестре государственной регистрации нормативных правовых актов № 28716) (далее - ГОСО) и от 9 января 2023 года № 4 «Об утверждении типовых учебных программ по медицинским</w:t>
      </w:r>
      <w:r>
        <w:rPr>
          <w:rStyle w:val="s0"/>
        </w:rPr>
        <w:t xml:space="preserve"> и фармацевтическим специальностям» (зарегистрирован в Реестре государственной регистрации нормативных правовых актов № 31672);</w:t>
      </w:r>
    </w:p>
    <w:p w:rsidR="00000000" w:rsidRDefault="001261A5">
      <w:pPr>
        <w:pStyle w:val="pj"/>
      </w:pPr>
      <w:r>
        <w:rPr>
          <w:rStyle w:val="s0"/>
        </w:rPr>
        <w:t>5) организация учебно-воспитательной работы, включая планирование, организацию и реализацию воспитательных мероприятий в соответ</w:t>
      </w:r>
      <w:r>
        <w:rPr>
          <w:rStyle w:val="s0"/>
        </w:rPr>
        <w:t xml:space="preserve">ствии с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4 июля 2022 года № ҚР ДСМ-63 «Об утверждении государственных общеобязательных стандартов по уровням образования в области здравоохранения» (зарегистрирован в Реестре государственной регистрации нормативных п</w:t>
      </w:r>
      <w:r>
        <w:rPr>
          <w:rStyle w:val="s0"/>
        </w:rPr>
        <w:t>равовых актов № 28716);</w:t>
      </w:r>
    </w:p>
    <w:p w:rsidR="00000000" w:rsidRDefault="001261A5">
      <w:pPr>
        <w:pStyle w:val="pj"/>
      </w:pPr>
      <w:r>
        <w:rPr>
          <w:rStyle w:val="s0"/>
        </w:rPr>
        <w:t>6) материально-техническое обеспечение (обеспеченность учебными кабинетами, лабораториями, учебно-производственными мастерскими, наличие симуляционного центра/кабинета) по специальностям;</w:t>
      </w:r>
    </w:p>
    <w:p w:rsidR="00000000" w:rsidRDefault="001261A5">
      <w:pPr>
        <w:pStyle w:val="pj"/>
      </w:pPr>
      <w:r>
        <w:rPr>
          <w:rStyle w:val="s0"/>
        </w:rPr>
        <w:t>7) информационные и цифровые ресурсы (официа</w:t>
      </w:r>
      <w:r>
        <w:rPr>
          <w:rStyle w:val="s0"/>
        </w:rPr>
        <w:t>льный сайт, информационная система управления образованием с актуальными базами данных о контингенте, обеспечение интернет-соединением, компьютерами, организационной техникой), библиотечный фонд;</w:t>
      </w:r>
    </w:p>
    <w:p w:rsidR="00000000" w:rsidRDefault="001261A5">
      <w:pPr>
        <w:pStyle w:val="pj"/>
      </w:pPr>
      <w:r>
        <w:rPr>
          <w:rStyle w:val="s0"/>
        </w:rPr>
        <w:t xml:space="preserve">8) оценка знаний и навыков выпускников, предусмотренная </w:t>
      </w: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11 декабря 2020 года № ҚР ДСМ-249/2020 «Об утверждении правил оценки знаний и навыков обучающихся, оценки профессиональной подготовленнос</w:t>
      </w:r>
      <w:r>
        <w:rPr>
          <w:rStyle w:val="s0"/>
        </w:rPr>
        <w:t>ти выпускников образовательных программ в области здравоохранения и специалистов в области здравоохранения» (зарегистрирован в Реестре государственной регистрации нормативных правовых актов № 21763), путем анализа работы внутренней системы оценивания учебн</w:t>
      </w:r>
      <w:r>
        <w:rPr>
          <w:rStyle w:val="s0"/>
        </w:rPr>
        <w:t>ых достижений обучающихся, (текущая, промежуточная и итоговая аттестации), проверка практических и профессиональных компетенций, включающая выполнение практических заданий, ситуационных задач либо иных оценочных действий, отражающих специфику профиля;</w:t>
      </w:r>
    </w:p>
    <w:p w:rsidR="00000000" w:rsidRDefault="001261A5">
      <w:pPr>
        <w:pStyle w:val="pj"/>
      </w:pPr>
      <w:r>
        <w:rPr>
          <w:rStyle w:val="s0"/>
        </w:rPr>
        <w:t>9) а</w:t>
      </w:r>
      <w:r>
        <w:rPr>
          <w:rStyle w:val="s0"/>
        </w:rPr>
        <w:t>нонимный опрос участников образовательного процесса;</w:t>
      </w:r>
    </w:p>
    <w:p w:rsidR="00000000" w:rsidRDefault="001261A5">
      <w:pPr>
        <w:pStyle w:val="pj"/>
      </w:pPr>
      <w:r>
        <w:rPr>
          <w:rStyle w:val="s0"/>
        </w:rPr>
        <w:t>10) организация производственной и профессиональной практики, включая наличие договоров с базами практики, а также взаимодействие с работодателями в форме совместной реализации практики, стажировок, учас</w:t>
      </w:r>
      <w:r>
        <w:rPr>
          <w:rStyle w:val="s0"/>
        </w:rPr>
        <w:t>тия в итоговой аттестации и трудоустройстве выпускников.</w:t>
      </w:r>
    </w:p>
    <w:p w:rsidR="00000000" w:rsidRDefault="001261A5">
      <w:pPr>
        <w:pStyle w:val="pj"/>
      </w:pPr>
      <w:r>
        <w:rPr>
          <w:rStyle w:val="s0"/>
        </w:rPr>
        <w:t>12. Изучение реализации образовательных программ осуществляется с учетом уровня образования и направлено на определение соответствия содержания и условий образовательного процесса требованиям ГОСО, т</w:t>
      </w:r>
      <w:r>
        <w:rPr>
          <w:rStyle w:val="s0"/>
        </w:rPr>
        <w:t>иповых учебных планов и учебных программ, а также изучение соблюдения требований образовательных программ, организации практик, итоговой аттестации и взаимодействие с работодателями.</w:t>
      </w:r>
    </w:p>
    <w:p w:rsidR="00000000" w:rsidRDefault="001261A5">
      <w:pPr>
        <w:pStyle w:val="pj"/>
      </w:pPr>
      <w:r>
        <w:rPr>
          <w:rStyle w:val="s0"/>
        </w:rPr>
        <w:t>13. Оценка уровня удовлетворенности условиями образовательного процесса п</w:t>
      </w:r>
      <w:r>
        <w:rPr>
          <w:rStyle w:val="s0"/>
        </w:rPr>
        <w:t>роводится Комиссией посредством анонимного опроса во время аттестации с использованием бумажных носителей или онлайн формате.</w:t>
      </w:r>
    </w:p>
    <w:p w:rsidR="00000000" w:rsidRDefault="001261A5">
      <w:pPr>
        <w:pStyle w:val="pj"/>
      </w:pPr>
      <w:r>
        <w:rPr>
          <w:rStyle w:val="s0"/>
        </w:rPr>
        <w:t>В качестве респондентов участвуют обучающиеся, родители (законные представители), педагоги и работодатели с обеспечением объективн</w:t>
      </w:r>
      <w:r>
        <w:rPr>
          <w:rStyle w:val="s0"/>
        </w:rPr>
        <w:t>ости и достоверности результатов.</w:t>
      </w:r>
    </w:p>
    <w:p w:rsidR="00000000" w:rsidRDefault="001261A5">
      <w:pPr>
        <w:pStyle w:val="pj"/>
      </w:pPr>
      <w:r>
        <w:rPr>
          <w:rStyle w:val="s0"/>
        </w:rPr>
        <w:t>Комиссия использует результаты анонимного опроса в обобщенном виде и в качестве показателя оценки деятельности организации ТиППО в области здравоохранения.</w:t>
      </w:r>
    </w:p>
    <w:p w:rsidR="00000000" w:rsidRDefault="001261A5">
      <w:pPr>
        <w:pStyle w:val="pj"/>
      </w:pPr>
      <w:r>
        <w:rPr>
          <w:rStyle w:val="s0"/>
        </w:rPr>
        <w:t xml:space="preserve">14. По итогам изучения материалов, результатов наблюдений, оценке </w:t>
      </w:r>
      <w:r>
        <w:rPr>
          <w:rStyle w:val="s0"/>
        </w:rPr>
        <w:t>практических навыков обучающихся, опросов, анализа документации и иных материалов, связанных с деятельностью организации ТиППО в области здравоохранения, Комиссия осуществляет аналитическую обработку и оценку информации.</w:t>
      </w:r>
    </w:p>
    <w:p w:rsidR="00000000" w:rsidRDefault="001261A5">
      <w:pPr>
        <w:pStyle w:val="pj"/>
      </w:pPr>
      <w:r>
        <w:rPr>
          <w:rStyle w:val="s0"/>
        </w:rPr>
        <w:t>15. Члены Комиссии подготавливают а</w:t>
      </w:r>
      <w:r>
        <w:rPr>
          <w:rStyle w:val="s0"/>
        </w:rPr>
        <w:t>налитические материалы по закрепленным направлениям оценки, включающие установленные факты, выводы и рекомендации. Аналитические материалы передаются Председателю для обобщения и систематизации.</w:t>
      </w:r>
    </w:p>
    <w:p w:rsidR="00000000" w:rsidRDefault="001261A5">
      <w:pPr>
        <w:pStyle w:val="pj"/>
      </w:pPr>
      <w:r>
        <w:rPr>
          <w:rStyle w:val="s0"/>
        </w:rPr>
        <w:t>16. По результатам всестороннего анализа представленных матер</w:t>
      </w:r>
      <w:r>
        <w:rPr>
          <w:rStyle w:val="s0"/>
        </w:rPr>
        <w:t xml:space="preserve">иалов Комиссия коллегиально рассматривает результаты оценки по всем направлениям, указанных в </w:t>
      </w:r>
      <w:hyperlink w:anchor="sub1100" w:history="1">
        <w:r>
          <w:rPr>
            <w:rStyle w:val="a4"/>
          </w:rPr>
          <w:t>пункте 11</w:t>
        </w:r>
      </w:hyperlink>
      <w:r>
        <w:rPr>
          <w:rStyle w:val="s0"/>
        </w:rPr>
        <w:t xml:space="preserve"> настоящих Правил и принимает решение о степени соответствия образовательной деятельности организации ТиППО в области здрав</w:t>
      </w:r>
      <w:r>
        <w:rPr>
          <w:rStyle w:val="s0"/>
        </w:rPr>
        <w:t>оохранения.</w:t>
      </w:r>
    </w:p>
    <w:p w:rsidR="00000000" w:rsidRDefault="001261A5">
      <w:pPr>
        <w:pStyle w:val="pj"/>
      </w:pPr>
      <w:r>
        <w:rPr>
          <w:rStyle w:val="s0"/>
        </w:rPr>
        <w:t>17. Решения Комиссии принимаются коллегиально большинством голосов присутствующих членов Комиссии. При равенстве голосов решающим является голос Председателя Комиссии.</w:t>
      </w:r>
    </w:p>
    <w:p w:rsidR="00000000" w:rsidRDefault="001261A5">
      <w:pPr>
        <w:pStyle w:val="pj"/>
      </w:pPr>
      <w:r>
        <w:rPr>
          <w:rStyle w:val="s0"/>
        </w:rPr>
        <w:t>18. На основе установленной степени соответствия Комиссия формирует заключение государственной аттестации (далее - Заключение), содержащее обоснованное предложение о признании организации ТиППО в области здравоохранения, прошедшей либо не прошедшей государ</w:t>
      </w:r>
      <w:r>
        <w:rPr>
          <w:rStyle w:val="s0"/>
        </w:rPr>
        <w:t xml:space="preserve">ственную аттестацию по форме,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 Заключение составляется в двух экземплярах и подписывается Председателем и всеми членами Комиссии.</w:t>
      </w:r>
    </w:p>
    <w:p w:rsidR="00000000" w:rsidRDefault="001261A5">
      <w:pPr>
        <w:pStyle w:val="pj"/>
      </w:pPr>
      <w:r>
        <w:rPr>
          <w:rStyle w:val="s0"/>
        </w:rPr>
        <w:t>19. Один экземпляр Заключения передается организации ТиППО</w:t>
      </w:r>
      <w:r>
        <w:rPr>
          <w:rStyle w:val="s0"/>
        </w:rPr>
        <w:t xml:space="preserve"> в области здравоохранения под подпись руководителя, второй экземпляр вместе с материалами государственной аттестации хранится в уполномоченном органе. В случае отказа руководителя организации ТиППО в области здравоохранения от подписи составляется соответ</w:t>
      </w:r>
      <w:r>
        <w:rPr>
          <w:rStyle w:val="s0"/>
        </w:rPr>
        <w:t>ствующий акт, который прилагается к материалам государственной аттестации.</w:t>
      </w:r>
    </w:p>
    <w:p w:rsidR="00000000" w:rsidRDefault="001261A5">
      <w:pPr>
        <w:pStyle w:val="pj"/>
      </w:pPr>
      <w:r>
        <w:rPr>
          <w:rStyle w:val="s0"/>
        </w:rPr>
        <w:t>20. Материалы государственной аттестации и Заключение хранятся не менее 5 (пяти) лет со дня издания приказа о признании организации ТиППО в области здравоохранения, прошедшей или не</w:t>
      </w:r>
      <w:r>
        <w:rPr>
          <w:rStyle w:val="s0"/>
        </w:rPr>
        <w:t xml:space="preserve"> прошедшей государственную аттестацию в уполномоченный орган.</w:t>
      </w:r>
    </w:p>
    <w:p w:rsidR="00000000" w:rsidRDefault="001261A5">
      <w:pPr>
        <w:pStyle w:val="pj"/>
      </w:pPr>
      <w:r>
        <w:rPr>
          <w:rStyle w:val="s0"/>
        </w:rPr>
        <w:t>21. На основании Заключения Комиссии уполномоченный орган издает приказ о признании организации ТиППО в области здравоохранения прошедшей либо не прошедшей государственную аттестацию. Приказ изд</w:t>
      </w:r>
      <w:r>
        <w:rPr>
          <w:rStyle w:val="s0"/>
        </w:rPr>
        <w:t>ается не позднее 3 (трех) рабочих дней со дня поступления Заключения Комиссии.</w:t>
      </w:r>
    </w:p>
    <w:p w:rsidR="00000000" w:rsidRDefault="001261A5">
      <w:pPr>
        <w:pStyle w:val="pj"/>
      </w:pPr>
      <w:r>
        <w:rPr>
          <w:rStyle w:val="s0"/>
        </w:rPr>
        <w:t>В случае не прохождения государственной аттестации данные организации ТиППО в области здравоохранения направляются в государственный орган, осуществляющий контрольные функции на</w:t>
      </w:r>
      <w:r>
        <w:rPr>
          <w:rStyle w:val="s0"/>
        </w:rPr>
        <w:t xml:space="preserve"> уровнях технического и профессионального, послесреднего образования — Комитет по обеспечению качества в сфере образования Министерства просвещения Республики Казахстан для проведения профилактического контроля с посещением субъекта (объекта) контроля в со</w:t>
      </w:r>
      <w:r>
        <w:rPr>
          <w:rStyle w:val="s0"/>
        </w:rPr>
        <w:t xml:space="preserve">ответствии с </w:t>
      </w:r>
      <w:hyperlink r:id="rId1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Казахстан, </w:t>
      </w: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образовании».</w:t>
      </w:r>
    </w:p>
    <w:p w:rsidR="00000000" w:rsidRDefault="001261A5">
      <w:pPr>
        <w:pStyle w:val="pj"/>
      </w:pPr>
      <w:r>
        <w:rPr>
          <w:rStyle w:val="s0"/>
        </w:rPr>
        <w:t xml:space="preserve">22. Результаты </w:t>
      </w:r>
      <w:r>
        <w:rPr>
          <w:rStyle w:val="s0"/>
        </w:rPr>
        <w:t>государственной аттестации доводятся до сведения организации ТиППО в области здравоохранения в течение 5 (пяти) рабочих дней со дня издания приказа.</w:t>
      </w:r>
    </w:p>
    <w:p w:rsidR="00000000" w:rsidRDefault="001261A5">
      <w:pPr>
        <w:pStyle w:val="pj"/>
      </w:pPr>
      <w:r>
        <w:rPr>
          <w:rStyle w:val="s0"/>
        </w:rPr>
        <w:t>23. Информация о результатах государственной аттестации размещается на официальных интернет-ресурсах уполно</w:t>
      </w:r>
      <w:r>
        <w:rPr>
          <w:rStyle w:val="s0"/>
        </w:rPr>
        <w:t>моченного органа, проводивших государственную аттестацию, не позднее 5 (пяти) рабочих дней со дня издания приказа.</w:t>
      </w:r>
    </w:p>
    <w:p w:rsidR="00000000" w:rsidRDefault="001261A5">
      <w:pPr>
        <w:pStyle w:val="pj"/>
      </w:pPr>
      <w:r>
        <w:rPr>
          <w:rStyle w:val="s0"/>
        </w:rPr>
        <w:t>24. Результаты государственной аттестации используются уполномоченным органом и местных органов государственного управления здравоохранения и</w:t>
      </w:r>
      <w:r>
        <w:rPr>
          <w:rStyle w:val="s0"/>
        </w:rPr>
        <w:t xml:space="preserve"> образования областей, городов республиканского значения и столицы для анализа состояния качества образовательной деятельности, а также для разработки и реализации мер методической, организационной и консультационной поддержки организаций ТиППО в области з</w:t>
      </w:r>
      <w:r>
        <w:rPr>
          <w:rStyle w:val="s0"/>
        </w:rPr>
        <w:t>дравоохранения. Организация ТиППО в области здравоохранения обеспечивает рассмотрение результатов государственной аттестации на заседании педагогического совета (или иного коллегиального органа, предусмотренного уставом организации образования) в целях пла</w:t>
      </w:r>
      <w:r>
        <w:rPr>
          <w:rStyle w:val="s0"/>
        </w:rPr>
        <w:t>нирования мероприятий по улучшению образовательного процесса и совершенствованию внутренней системы обеспечения качества образования.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c"/>
      </w:pPr>
      <w:r>
        <w:rPr>
          <w:rStyle w:val="s1"/>
        </w:rPr>
        <w:t>Глава 4. Порядок обжалования результатов государственной аттестации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25. В случае несогласия с Заключением Комиссии о</w:t>
      </w:r>
      <w:r>
        <w:rPr>
          <w:rStyle w:val="s0"/>
        </w:rPr>
        <w:t>рганизация ТиППО в области здравоохранения вправе подать письменную жалобу в орган, проводивший государственную аттестацию — уполномоченный орган в течение 3 (трех) рабочих дней со дня получения Заключения.</w:t>
      </w:r>
    </w:p>
    <w:p w:rsidR="00000000" w:rsidRDefault="001261A5">
      <w:pPr>
        <w:pStyle w:val="pj"/>
      </w:pPr>
      <w:r>
        <w:rPr>
          <w:rStyle w:val="s0"/>
        </w:rPr>
        <w:t>26. Жалоба на Заключение Комиссии и (или) решение</w:t>
      </w:r>
      <w:r>
        <w:rPr>
          <w:rStyle w:val="s0"/>
        </w:rPr>
        <w:t xml:space="preserve"> о признании организации ТиППО в области здравоохранения прошедшей либо не прошедшей государственную аттестацию подается на имя первого руководителя уполномоченного органа в соответствии с законодательством Республики Казахстан и рассматривается в течение </w:t>
      </w:r>
      <w:r>
        <w:rPr>
          <w:rStyle w:val="s0"/>
        </w:rPr>
        <w:t>20 (двадцати) рабочих дней со дня ее регистрации.</w:t>
      </w:r>
    </w:p>
    <w:p w:rsidR="00000000" w:rsidRDefault="001261A5">
      <w:pPr>
        <w:pStyle w:val="pj"/>
      </w:pPr>
      <w:r>
        <w:rPr>
          <w:rStyle w:val="s0"/>
        </w:rPr>
        <w:t>Обжалование заключения Комиссии не приостанавливает его действие.</w:t>
      </w:r>
    </w:p>
    <w:p w:rsidR="00000000" w:rsidRDefault="001261A5">
      <w:pPr>
        <w:pStyle w:val="pj"/>
      </w:pPr>
      <w:r>
        <w:rPr>
          <w:rStyle w:val="s0"/>
        </w:rPr>
        <w:t>27. Если иное не предусмотрено законами Республики Казахстан, обжалование результатов государственной аттестации в судебном порядке допускае</w:t>
      </w:r>
      <w:r>
        <w:rPr>
          <w:rStyle w:val="s0"/>
        </w:rPr>
        <w:t xml:space="preserve">тся после их обжалования в административном (досудебном) порядке в соответствии с </w:t>
      </w:r>
      <w:hyperlink w:anchor="sub500" w:history="1">
        <w:r>
          <w:rPr>
            <w:rStyle w:val="a4"/>
          </w:rPr>
          <w:t>пунктом 5</w:t>
        </w:r>
      </w:hyperlink>
      <w:r>
        <w:rPr>
          <w:rStyle w:val="s0"/>
        </w:rPr>
        <w:t xml:space="preserve"> </w:t>
      </w:r>
      <w:r>
        <w:rPr>
          <w:rStyle w:val="s0"/>
        </w:rPr>
        <w:t>статьи 91 Административного процедурно-процессуального кодекса Республики Казахстан.</w:t>
      </w:r>
    </w:p>
    <w:p w:rsidR="00000000" w:rsidRDefault="001261A5">
      <w:pPr>
        <w:pStyle w:val="pj"/>
      </w:pPr>
      <w:r>
        <w:t> </w:t>
      </w:r>
    </w:p>
    <w:p w:rsidR="00000000" w:rsidRDefault="001261A5">
      <w:pPr>
        <w:pStyle w:val="pr"/>
      </w:pPr>
      <w:bookmarkStart w:id="4" w:name="SUB1"/>
      <w:bookmarkEnd w:id="4"/>
      <w:r>
        <w:t xml:space="preserve">Приложение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1261A5">
      <w:pPr>
        <w:pStyle w:val="pr"/>
      </w:pPr>
      <w:r>
        <w:t>проведения государственной аттестации</w:t>
      </w:r>
    </w:p>
    <w:p w:rsidR="00000000" w:rsidRDefault="001261A5">
      <w:pPr>
        <w:pStyle w:val="pr"/>
      </w:pPr>
      <w:r>
        <w:t>в отношении организаций, реализующих</w:t>
      </w:r>
    </w:p>
    <w:p w:rsidR="00000000" w:rsidRDefault="001261A5">
      <w:pPr>
        <w:pStyle w:val="pr"/>
      </w:pPr>
      <w:r>
        <w:t>образовательные программы технического</w:t>
      </w:r>
    </w:p>
    <w:p w:rsidR="00000000" w:rsidRDefault="001261A5">
      <w:pPr>
        <w:pStyle w:val="pr"/>
      </w:pPr>
      <w:r>
        <w:t>и пр</w:t>
      </w:r>
      <w:r>
        <w:t>офессионального, послесреднего</w:t>
      </w:r>
    </w:p>
    <w:p w:rsidR="00000000" w:rsidRDefault="001261A5">
      <w:pPr>
        <w:pStyle w:val="pr"/>
      </w:pPr>
      <w:r>
        <w:t>образования в области здравоохранения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c"/>
      </w:pPr>
      <w:r>
        <w:rPr>
          <w:rStyle w:val="s1"/>
        </w:rPr>
        <w:t>Заключение о соответствии/несоответствии требованиям</w:t>
      </w:r>
      <w:r>
        <w:rPr>
          <w:rStyle w:val="s1"/>
        </w:rPr>
        <w:br/>
        <w:t>государственной аттестации в отношении организаций, реализующих образовательные программы технического и профессионального, послес</w:t>
      </w:r>
      <w:r>
        <w:rPr>
          <w:rStyle w:val="s1"/>
        </w:rPr>
        <w:t>реднего образования в области здравоохранения</w:t>
      </w:r>
      <w:r>
        <w:rPr>
          <w:rStyle w:val="s1"/>
        </w:rPr>
        <w:br/>
      </w:r>
      <w:r>
        <w:rPr>
          <w:rStyle w:val="s1"/>
          <w:b w:val="0"/>
          <w:bCs w:val="0"/>
        </w:rPr>
        <w:t>(необходимо подчеркнуть нужное)</w:t>
      </w:r>
    </w:p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1. Организация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         (полное юридическое наименование, БИН, адрес организации, учредитель)</w:t>
      </w:r>
    </w:p>
    <w:p w:rsidR="00000000" w:rsidRDefault="001261A5">
      <w:pPr>
        <w:pStyle w:val="pj"/>
      </w:pPr>
      <w:r>
        <w:rPr>
          <w:rStyle w:val="s0"/>
        </w:rPr>
        <w:t>2. Контактные данные юридического лица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</w:t>
      </w:r>
      <w:r>
        <w:rPr>
          <w:rStyle w:val="s0"/>
        </w:rPr>
        <w:t>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         (телефон, электронная почта, web-сайт)</w:t>
      </w:r>
    </w:p>
    <w:p w:rsidR="00000000" w:rsidRDefault="001261A5">
      <w:pPr>
        <w:pStyle w:val="pj"/>
      </w:pPr>
      <w:r>
        <w:rPr>
          <w:rStyle w:val="s0"/>
        </w:rPr>
        <w:t>3. Контактные данные представителя юридического лица</w:t>
      </w:r>
    </w:p>
    <w:p w:rsidR="00000000" w:rsidRDefault="001261A5">
      <w:pPr>
        <w:pStyle w:val="pj"/>
      </w:pPr>
      <w:r>
        <w:rPr>
          <w:rStyle w:val="s0"/>
        </w:rPr>
        <w:t>_______________</w:t>
      </w:r>
      <w:r>
        <w:rPr>
          <w:rStyle w:val="s0"/>
        </w:rPr>
        <w:t>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           (ФИО руководителя, копия приказа о назнач</w:t>
      </w:r>
      <w:r>
        <w:rPr>
          <w:rStyle w:val="s0"/>
        </w:rPr>
        <w:t>ении на должность)</w:t>
      </w:r>
    </w:p>
    <w:p w:rsidR="00000000" w:rsidRDefault="001261A5">
      <w:pPr>
        <w:pStyle w:val="pj"/>
      </w:pPr>
      <w:r>
        <w:rPr>
          <w:rStyle w:val="s0"/>
        </w:rPr>
        <w:t>4. Правоустанавливающие, разрешительные и учредительные документы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</w:t>
      </w:r>
      <w:r>
        <w:rPr>
          <w:rStyle w:val="s0"/>
        </w:rPr>
        <w:t>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213"/>
        <w:gridCol w:w="2051"/>
        <w:gridCol w:w="2429"/>
        <w:gridCol w:w="456"/>
        <w:gridCol w:w="158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Измерители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Критерии</w:t>
            </w:r>
          </w:p>
        </w:tc>
        <w:tc>
          <w:tcPr>
            <w:tcW w:w="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Оценка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Отметка о выполнении</w:t>
            </w:r>
          </w:p>
          <w:p w:rsidR="00000000" w:rsidRDefault="001261A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(+)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Цель, задачи и ценности организаций образования - (6 измерителей)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Справка об общей характеристике организации образования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информации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 информации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лицензии по аттестуемым специальностям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Сведения о последней аккредитации (сертификат)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1.4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Годовые планы за за два предшествующих учебных года и текущий учебный год, предшествующий дате начала государственной аттестации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1.5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Рабочие учебные планы (копии на казахском и русском языках) за два предшест</w:t>
            </w:r>
            <w:r>
              <w:t>вующих учебных года и текущий учебный год, предшествующий дате начала государственной аттестации в соответствии действующему ГОСО и типовым учебным программам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Соответствие требованиям ГОСО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Несоответствие требованиям ГОСО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1.6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Структура организации ТиППО в области здравоохранения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утверждённой копии документа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 утверждённой копии документа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Преподавание и обучение (5 измерителей)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2.1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контингента обучающихся за два предшествующих учебных года и текущий учебный год, предшествующий дате начала государственной аттестации в разрезе специальностей (приём, выпуск по данным статистического отчета 2-НК и данные по информационной с</w:t>
            </w:r>
            <w:r>
              <w:t>истеме «Национальная образовательная база данных» (далее - НОБД)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Данные о контингенте обучающихся по специальностям за два предшествующих учебных года и текущий учебный год, предшествующий дате начала государственной аттестации в полном объёме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Данные о контингенте обучающихся по специальностям за два предшествующих учебных года и текущий учебный год, предшествующий дате начала государственной аттестации отсутствуют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2.2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Создание условий для проживания студентов, наличие собственн</w:t>
            </w:r>
            <w:r>
              <w:t>ых либо принадлежащих на праве хозяйственного ведения, или оперативного управления, или доверительного управления, или на праве аренды на полный период обучения общежитий, и/или хостелов, и/или гостиницы, обеспечивающих проживание (охват студентов в % от ч</w:t>
            </w:r>
            <w:r>
              <w:t>исла нуждающихся в соответствии НОБД)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30 - 64 %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30%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2.3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учебно-методической работы (сведения о цикловой методической комиссии, наличие рабочих программ дисциплин, контрольно-измерительных средств, открытые занятия)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в полном объёме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2.4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Участие педагогов в мероприятиях городского, областного, республиканского и международного значения, достижения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принявших участие за аттестационный период 60% -100%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 xml:space="preserve">Доля педагогов принявших участие за аттестационный период 40% </w:t>
            </w:r>
            <w:r>
              <w:t>-59%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принявших участие за аттестационный период 20% -39%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принявших участие за аттестационный период менее 20%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2.5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Успеваемость, качество знаний (текущая, промежуточная и итоговая аттестации)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выпускников успешно сдавших итоговую аттестацию более 90%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выпускников успешно сдавших итоговую аттестацию 70% - 89 %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выпускников успешно сдавших итоговую аттестацию 50% - 69 %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</w:t>
            </w:r>
          </w:p>
          <w:p w:rsidR="00000000" w:rsidRDefault="001261A5">
            <w:pPr>
              <w:pStyle w:val="p"/>
            </w:pPr>
            <w:r>
              <w:t>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выпускников успешно сдавших итоговую аттестацию менее 50%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</w:t>
            </w:r>
          </w:p>
          <w:p w:rsidR="00000000" w:rsidRDefault="001261A5">
            <w:pPr>
              <w:pStyle w:val="p"/>
            </w:pPr>
            <w:r>
              <w:t>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Кадровый состав -10 (измерителей)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педагогов, имеющих высшее (послевузовское) педагогическое/медицинское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</w:t>
            </w:r>
          </w:p>
          <w:p w:rsidR="00000000" w:rsidRDefault="001261A5">
            <w:pPr>
              <w:pStyle w:val="p"/>
            </w:pPr>
            <w:r>
              <w:t>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</w:t>
            </w:r>
            <w:r>
              <w:t>е 80 %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</w:t>
            </w:r>
          </w:p>
          <w:p w:rsidR="00000000" w:rsidRDefault="001261A5">
            <w:pPr>
              <w:pStyle w:val="p"/>
            </w:pPr>
            <w:r>
              <w:t>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педагогов, которые не реже одного раза в три года повышали/подтвержадали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80 %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педагогов, прошедших курсы повышения квалификации педагогов в том числе руководителей, заместителей руководителя) не реже одного раза в три года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</w:t>
            </w:r>
            <w:r>
              <w:t>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80 %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3.4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Обеспечение повышения квалификации педагогов по соответствующему профилю не реже 1 раза в 3 года, объемом не менее 36 часов. Для руководителей организаций образования повышение квалификации не реже 1 раза в 3 года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80 %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3.5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педагогов, преподавателей специальных дисциплин, для которых основным местом работы является лицензиат и наставников, мастеров производственного обучения, от общего числа педагогов по подготавливаемым специальностям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</w:t>
            </w:r>
            <w:r>
              <w:t>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70 - 84 %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70 %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3.6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(преподавателей) из числа медицинских сестер с уровнем прикладного и (или) академического бакалавриата, магистратуры от общего числа педагогов по специальности (для специальностей «Лечебное дело», «Сестринское дело», «Акушерское дело»)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Более</w:t>
            </w:r>
            <w:r>
              <w:t xml:space="preserve"> 20 %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14 - 19 %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10 - 13 %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eдовлетворительно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10%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3.7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 подготавл</w:t>
            </w:r>
            <w:r>
              <w:t>иваемым специальностям, для которых основным местом работы является лицензиат (для технического и профессионального образования)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30 - 64 %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30 %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3.7.1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педагогов-экспертов, педагогов-исследователей, педагогов-мастеров и (или) лиц, имеющих степень магистра, доктора философии (PhD), доктора по профилю, ученую степень доктора наук, кандидата наук, доктора философии (PhD), от числа педагогов по</w:t>
            </w:r>
            <w:r>
              <w:t xml:space="preserve"> подготавливаемым специальностям, для которых основным местом работы является лицензиат (для послесреднего образования)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70 - 99 %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40 - 69 %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40 %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3.8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Доля педагогов специальных дисциплин и наставников, мастеров производственного обучения, прошедших стажировку в организациях и/или на производстве объемом не менее 36 часов за последние 3 года, от числа педагогов по подготавливаемым специальностям, для кот</w:t>
            </w:r>
            <w:r>
              <w:t>орых основным местом работы является лицензиат образования)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10 - 54 %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10 %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3.9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у руководителя организации образования медицинского образования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3.10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кадрового потенциала (сведения по возрасту, стажу, категории в соответствии НОБД)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Подтверждение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Частичное подтверждение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Обеспечение доступности образования (5 измерителей)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Учебно-воспитательная работа: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4.1.1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Приоритетные направления воспитательной работы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Частичное соответствие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Несоответствие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4.1.2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воспитательной работы (сведения о студенческом самоуправлении; совет по профилактик</w:t>
            </w:r>
            <w:r>
              <w:t>е нарушений; совет кураторов; участие в научно-исследовательской работе студентов, спортивных соревнованиях, олимпиадах, конкурсах профессионального мастерства WorldSkills)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в полном объёме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Производственное обучение: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4.2.1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Организация практики (учебной, учебно-производственной, преддипломной). В соответствии требованиям ГОСО. Программы практики, наличие договоров, приказов.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в полном объёме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4.2.2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Результ</w:t>
            </w:r>
            <w:r>
              <w:t>аты производственного обучения и производственной практики (дневники, ведомости, характеристики, форма контроля оценки результатов практики).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Соответствие нормативным требованиям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Частичное соответствие нормативным требованиям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Несоответствие нормативным требованиям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4.3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Сведения о трудоустройстве и занятости выпускников организации образования по специальности, при этом доля трудоустрое</w:t>
            </w:r>
            <w:r>
              <w:t>нных и занятых от общего числа выпускников по специальности в течение года выпуска, подтвержденных документально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80 - 85 %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75 - 79 %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75 %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Обеспечение безопасности обучающихся (10 измерителей)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Инфраструктура обеспечения безопасности: санитарно-эпидемиологической, противопожарной, антитеррористической (подтверждающие документы).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 требованиям обеспечения безопасности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</w:t>
            </w:r>
            <w:r>
              <w:t>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Частично соответствует требованиям обеспечения безопасности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соответствует требованиям обеспечения безопасности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Доступная среда для лиц с ограниченными возможностями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 xml:space="preserve">Материально-техническая база, способствующая эффективному обучению, соответствующая нормам, утвержденным </w:t>
            </w:r>
            <w:hyperlink r:id="rId15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Министра образования и науки Республики Казахстан от 7 марта 2012 года № 97 «</w:t>
            </w:r>
            <w:r>
              <w:t>Об утверждении норм оснащения оборудованием и мебелью организаций технического и профессионального образования» (зарегистрирован в Реестре государственной регистрации нормативных правовых актов за № 7574)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 нормам оснащения более 100%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 нормам оснащения 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 нормам оснащения 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Оснащение менее 80%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5.4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Мониторинг динамики укрепления за два предшествующих учебных года и текущий учебный год, предшествующий дате начала государственной аттестации учебно-материальных активов, способствующих качеству подготовки специалистов (технические средства обучения, комп</w:t>
            </w:r>
            <w:r>
              <w:t>ьютеры, подключенные к сети интернет, организационная техника, учебное, учебно-лабораторное, спортивное оборудование, учебники, учебные пособия, развитие информационной инфраструктуры)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Положительная динамика укрепления МТБ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 положите</w:t>
            </w:r>
            <w:r>
              <w:t>льной динамики укрепления МТБ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 укрепления МТБ за аттестуемый период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5.5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обьекта питания, соответствующего санитарным правилам и нормам (с заключением СЭС)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соответствует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5.6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медицинского обслуживания обучающихся, в том числе наличие медицинского пункта на основании лицензии на медицинскую деятельность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Соответствует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 соответствует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Отсутствует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5.7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библиотечно</w:t>
            </w:r>
            <w:r>
              <w:t>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специальностям, в печатном и электронном формате, в том числ</w:t>
            </w:r>
            <w:r>
              <w:t>е загруженных в инфомационную образовательную платформу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95 - 99 %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80 - 94 %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80%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5.8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Оснащенность симуляционного центра/кабинета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90-100 %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71 - 89 %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51- 70 %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50 %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5.9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Официальный сайт, официальные аккаунты в социальных сетях.</w:t>
            </w:r>
          </w:p>
          <w:p w:rsidR="00000000" w:rsidRDefault="001261A5">
            <w:pPr>
              <w:pStyle w:val="p"/>
            </w:pPr>
            <w:r>
              <w:t>Информационная система управления образованием с актуальными базами данных о контингенте, доменное имя третьего уровня в зоне edu.kz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официального сайта и аккаунтов социальных сетей, информа</w:t>
            </w:r>
            <w:r>
              <w:t>ционной системы, доменного имени третьего уровня в зоне edu.kz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официального сайта и аккаунтов социальных сетей, информационной системы, доменного имени третьего уровня в зоне edu.kz не в полном объеме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</w:t>
            </w:r>
            <w:r>
              <w:t>ие официального сайта и аккаунтов социальных сетей, информационной системы, доменного имени третьего уровня в зоне edu.kz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5.10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Полнота, периодичность и способ доведения информации о работе образовательной организации до общественности. Периодичность обновления информации на веб-сайте образовательного учреждения, в социальных сетях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Наличие актуальной информации о работе образовател</w:t>
            </w:r>
            <w:r>
              <w:t>ьной организации на официальном сайте и в социальных сетях, систематичность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Работа сайта за последние 3 года в неполном обьеме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Отсутствие актуальной информации о работе образовательной организации на официальном сайте и</w:t>
            </w:r>
            <w:r>
              <w:t xml:space="preserve"> в социальных сетях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4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Обратная связь-(4 измерителя)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6.1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результатов опроса обучающихся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80 % до 100% респондентов удовлетворены уровнем предоставляемых образовательных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65% до 79 % респондентов удовлетворены уровнем предоставляемых образовательных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50 % до 64 % респондентов удовлетворены уровнем предоставляемых образовательных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50 % респондентов удовлетворены уровнем предоставляемых образовательных услуг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6.2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результатов опроса педагогов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</w:t>
            </w:r>
            <w:r>
              <w:t>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6.3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результатов опроса родителей (законных представителей)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65% до 79 % респондентов удовлетворены уровнем создания условий для к</w:t>
            </w:r>
            <w:r>
              <w:t>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6.4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Анализ результатов опроса работодателей, руководителей баз производственной практики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80 % до 100% респондентов удовлетворены уровнем компетентности обучающихся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отлично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65% до 79 % респондентов удовлетворены уровнем компетентности обуча</w:t>
            </w:r>
            <w:r>
              <w:t>ющихся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хорошо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от 50 % до 64 % респондентов удовлетворены уровнем компетентности обучающихся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удовлетвори 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1261A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менее 50 % респондентов удовлетворены уровнем компетентности обучающихся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t>неудовлетво рительно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>
            <w:pPr>
              <w:pStyle w:val="p"/>
            </w:pPr>
            <w:r>
              <w:rPr>
                <w:b/>
                <w:bCs/>
                <w:bdr w:val="none" w:sz="0" w:space="0" w:color="auto" w:frame="1"/>
              </w:rPr>
              <w:t>Итоговая оценка = (сумма оценок по 40 измерителям)/ 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61A5"/>
        </w:tc>
      </w:tr>
    </w:tbl>
    <w:p w:rsidR="00000000" w:rsidRDefault="001261A5">
      <w:pPr>
        <w:pStyle w:val="pj"/>
      </w:pPr>
      <w:r>
        <w:rPr>
          <w:rStyle w:val="s0"/>
        </w:rPr>
        <w:t> </w:t>
      </w:r>
    </w:p>
    <w:p w:rsidR="00000000" w:rsidRDefault="001261A5">
      <w:pPr>
        <w:pStyle w:val="pj"/>
      </w:pPr>
      <w:r>
        <w:rPr>
          <w:rStyle w:val="s0"/>
        </w:rPr>
        <w:t>Примечание: к Оценке применяются измерители, соответствующие одной из оценок: «отлично», «хорошо», «удовлетворительно».</w:t>
      </w:r>
    </w:p>
    <w:p w:rsidR="00000000" w:rsidRDefault="001261A5">
      <w:pPr>
        <w:pStyle w:val="pj"/>
      </w:pPr>
      <w:r>
        <w:rPr>
          <w:rStyle w:val="s0"/>
        </w:rPr>
        <w:t>Оценке соответствует балл:</w:t>
      </w:r>
    </w:p>
    <w:p w:rsidR="00000000" w:rsidRDefault="001261A5">
      <w:pPr>
        <w:pStyle w:val="pj"/>
      </w:pPr>
      <w:r>
        <w:rPr>
          <w:rStyle w:val="s0"/>
        </w:rPr>
        <w:t>«отлично» - 5;</w:t>
      </w:r>
    </w:p>
    <w:p w:rsidR="00000000" w:rsidRDefault="001261A5">
      <w:pPr>
        <w:pStyle w:val="pj"/>
      </w:pPr>
      <w:r>
        <w:rPr>
          <w:rStyle w:val="s0"/>
        </w:rPr>
        <w:t>«хорошо» - 4;</w:t>
      </w:r>
    </w:p>
    <w:p w:rsidR="00000000" w:rsidRDefault="001261A5">
      <w:pPr>
        <w:pStyle w:val="pj"/>
      </w:pPr>
      <w:r>
        <w:rPr>
          <w:rStyle w:val="s0"/>
        </w:rPr>
        <w:t>«удовлетворительно» - 3;</w:t>
      </w:r>
    </w:p>
    <w:p w:rsidR="00000000" w:rsidRDefault="001261A5">
      <w:pPr>
        <w:pStyle w:val="pj"/>
      </w:pPr>
      <w:r>
        <w:rPr>
          <w:rStyle w:val="s0"/>
        </w:rPr>
        <w:t>«неудовлетворительно» - 2</w:t>
      </w:r>
    </w:p>
    <w:p w:rsidR="00000000" w:rsidRDefault="001261A5">
      <w:pPr>
        <w:pStyle w:val="pj"/>
      </w:pPr>
      <w:r>
        <w:rPr>
          <w:rStyle w:val="s0"/>
        </w:rPr>
        <w:t>«отсутствие» - 0</w:t>
      </w:r>
    </w:p>
    <w:p w:rsidR="00000000" w:rsidRDefault="001261A5">
      <w:pPr>
        <w:pStyle w:val="pj"/>
      </w:pPr>
      <w:r>
        <w:rPr>
          <w:rStyle w:val="s0"/>
        </w:rPr>
        <w:t>Итоговая оце</w:t>
      </w:r>
      <w:r>
        <w:rPr>
          <w:rStyle w:val="s0"/>
        </w:rPr>
        <w:t>нка по измерителям выставляется комиссией как среднее арифметическое значение суммы оценок по критериям с округление к ближайшему целому.</w:t>
      </w:r>
    </w:p>
    <w:p w:rsidR="00000000" w:rsidRDefault="001261A5">
      <w:pPr>
        <w:pStyle w:val="pj"/>
      </w:pPr>
      <w:r>
        <w:rPr>
          <w:rStyle w:val="s0"/>
        </w:rPr>
        <w:t>Государственная аттестационная комиссия рекомендует аттестовать организацию ТиППО в области здравоохранения при услови</w:t>
      </w:r>
      <w:r>
        <w:rPr>
          <w:rStyle w:val="s0"/>
        </w:rPr>
        <w:t>и, что итоговая оценка по измерителям к критериям оценки будет равна «отлично» - 5 или «хорошо» - 4.</w:t>
      </w:r>
    </w:p>
    <w:p w:rsidR="00000000" w:rsidRDefault="001261A5">
      <w:pPr>
        <w:pStyle w:val="pj"/>
      </w:pPr>
      <w:r>
        <w:rPr>
          <w:rStyle w:val="s0"/>
        </w:rPr>
        <w:t>Отрицательное решение по государственной аттестации выносится при условии, что Итоговая оценка по измерителям к критериям оценки будет равна «удовлетворите</w:t>
      </w:r>
      <w:r>
        <w:rPr>
          <w:rStyle w:val="s0"/>
        </w:rPr>
        <w:t>льно» - 3, «неудовлетворительно» - 2.</w:t>
      </w:r>
    </w:p>
    <w:p w:rsidR="00000000" w:rsidRDefault="001261A5">
      <w:pPr>
        <w:pStyle w:val="pj"/>
      </w:pPr>
      <w:r>
        <w:rPr>
          <w:rStyle w:val="s0"/>
        </w:rPr>
        <w:t>При отрицательном решении государственной аттестации комиссией формируется аналитический отчет с указанием измерителей, получивших оценку «удовлетворительно» - 3, «неудовлетворительно» - 2.</w:t>
      </w:r>
    </w:p>
    <w:p w:rsidR="00000000" w:rsidRDefault="001261A5">
      <w:pPr>
        <w:pStyle w:val="pj"/>
      </w:pPr>
      <w:r>
        <w:rPr>
          <w:rStyle w:val="s0"/>
        </w:rPr>
        <w:t>5. Заключение: прошел/не про</w:t>
      </w:r>
      <w:r>
        <w:rPr>
          <w:rStyle w:val="s0"/>
        </w:rPr>
        <w:t>шел государственную аттестацию.</w:t>
      </w:r>
    </w:p>
    <w:p w:rsidR="00000000" w:rsidRDefault="001261A5">
      <w:pPr>
        <w:pStyle w:val="pj"/>
      </w:pPr>
      <w:r>
        <w:rPr>
          <w:rStyle w:val="s0"/>
        </w:rPr>
        <w:t>6. Рекомендации по совершенствованию деятельности в отношении организации, реализующей образовательные программы технического и профессионального, послесреднего образования в области здравоохранения.</w:t>
      </w:r>
    </w:p>
    <w:p w:rsidR="00000000" w:rsidRDefault="001261A5">
      <w:pPr>
        <w:pStyle w:val="pj"/>
      </w:pPr>
      <w:r>
        <w:rPr>
          <w:rStyle w:val="s0"/>
        </w:rPr>
        <w:t>« » ____ _____ года</w:t>
      </w:r>
    </w:p>
    <w:p w:rsidR="00000000" w:rsidRDefault="001261A5">
      <w:pPr>
        <w:pStyle w:val="pj"/>
      </w:pPr>
      <w:r>
        <w:rPr>
          <w:rStyle w:val="s0"/>
        </w:rPr>
        <w:t>____</w:t>
      </w:r>
      <w:r>
        <w:rPr>
          <w:rStyle w:val="s0"/>
        </w:rPr>
        <w:t>_____________________________________________________________________________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Председатель:</w:t>
      </w:r>
    </w:p>
    <w:p w:rsidR="00000000" w:rsidRDefault="001261A5">
      <w:pPr>
        <w:pStyle w:val="pj"/>
      </w:pPr>
      <w:r>
        <w:rPr>
          <w:rStyle w:val="s0"/>
        </w:rPr>
        <w:t>ФИО, должность и подпись __________________________________</w:t>
      </w:r>
    </w:p>
    <w:p w:rsidR="00000000" w:rsidRDefault="001261A5">
      <w:pPr>
        <w:pStyle w:val="pj"/>
      </w:pPr>
      <w:r>
        <w:rPr>
          <w:rStyle w:val="s0"/>
        </w:rPr>
        <w:t>Члены аттестационной комиссии:</w:t>
      </w:r>
    </w:p>
    <w:p w:rsidR="00000000" w:rsidRDefault="001261A5">
      <w:pPr>
        <w:pStyle w:val="pj"/>
      </w:pPr>
      <w:r>
        <w:rPr>
          <w:rStyle w:val="s0"/>
        </w:rPr>
        <w:t>1.ФИО, должность и подпись __________________________________</w:t>
      </w:r>
    </w:p>
    <w:p w:rsidR="00000000" w:rsidRDefault="001261A5">
      <w:pPr>
        <w:pStyle w:val="pj"/>
      </w:pPr>
      <w:r>
        <w:rPr>
          <w:rStyle w:val="s0"/>
        </w:rPr>
        <w:t>2.ФИО, должность и подпись __________________________________</w:t>
      </w:r>
    </w:p>
    <w:p w:rsidR="00000000" w:rsidRDefault="001261A5">
      <w:pPr>
        <w:pStyle w:val="pj"/>
      </w:pPr>
      <w:r>
        <w:rPr>
          <w:rStyle w:val="s0"/>
        </w:rPr>
        <w:t>3.ФИО, должность и подпись ______________</w:t>
      </w:r>
      <w:r>
        <w:rPr>
          <w:rStyle w:val="s0"/>
        </w:rPr>
        <w:t>____________________</w:t>
      </w:r>
    </w:p>
    <w:p w:rsidR="00000000" w:rsidRDefault="001261A5">
      <w:pPr>
        <w:pStyle w:val="pj"/>
      </w:pPr>
      <w:r>
        <w:rPr>
          <w:rStyle w:val="s0"/>
        </w:rPr>
        <w:t>4.ФИО, должность и подпись __________________________________</w:t>
      </w:r>
    </w:p>
    <w:p w:rsidR="00000000" w:rsidRDefault="001261A5">
      <w:pPr>
        <w:pStyle w:val="pj"/>
      </w:pPr>
      <w:r>
        <w:rPr>
          <w:rStyle w:val="s0"/>
        </w:rPr>
        <w:t>__________________________________________________________</w:t>
      </w:r>
    </w:p>
    <w:p w:rsidR="00000000" w:rsidRDefault="001261A5">
      <w:pPr>
        <w:pStyle w:val="pj"/>
      </w:pPr>
      <w:r>
        <w:rPr>
          <w:rStyle w:val="s0"/>
        </w:rPr>
        <w:t>7. Ознакомлен /ознакомлена</w:t>
      </w:r>
    </w:p>
    <w:p w:rsidR="00000000" w:rsidRDefault="001261A5">
      <w:pPr>
        <w:pStyle w:val="pj"/>
      </w:pPr>
      <w:r>
        <w:rPr>
          <w:rStyle w:val="s0"/>
        </w:rPr>
        <w:t>Руководитель ТиППО в области здравоохранения_____________________________</w:t>
      </w:r>
    </w:p>
    <w:p w:rsidR="00000000" w:rsidRDefault="001261A5">
      <w:pPr>
        <w:pStyle w:val="pj"/>
      </w:pPr>
      <w:r>
        <w:rPr>
          <w:rStyle w:val="s0"/>
        </w:rPr>
        <w:t>             </w:t>
      </w:r>
      <w:r>
        <w:rPr>
          <w:rStyle w:val="s0"/>
        </w:rPr>
        <w:t>                     (Фамилия, имя, отчество (при наличии) (подпись)</w:t>
      </w:r>
    </w:p>
    <w:p w:rsidR="00000000" w:rsidRDefault="001261A5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1A5" w:rsidRDefault="001261A5" w:rsidP="001261A5">
      <w:r>
        <w:separator/>
      </w:r>
    </w:p>
  </w:endnote>
  <w:endnote w:type="continuationSeparator" w:id="0">
    <w:p w:rsidR="001261A5" w:rsidRDefault="001261A5" w:rsidP="0012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Default="001261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Default="001261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Default="001261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1A5" w:rsidRDefault="001261A5" w:rsidP="001261A5">
      <w:r>
        <w:separator/>
      </w:r>
    </w:p>
  </w:footnote>
  <w:footnote w:type="continuationSeparator" w:id="0">
    <w:p w:rsidR="001261A5" w:rsidRDefault="001261A5" w:rsidP="0012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Default="001261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Pr="001261A5" w:rsidRDefault="001261A5" w:rsidP="001261A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261A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261A5" w:rsidRPr="001261A5" w:rsidRDefault="001261A5" w:rsidP="001261A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261A5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11 марта 2026 года № 32 «Об утверждении Правил проведения государственной аттестации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здравоохранения» (не введен в действие)</w:t>
    </w:r>
  </w:p>
  <w:p w:rsidR="001261A5" w:rsidRPr="001261A5" w:rsidRDefault="001261A5" w:rsidP="001261A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261A5"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1A5" w:rsidRDefault="001261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A5"/>
    <w:rsid w:val="001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6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61A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26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1A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291893" TargetMode="External"/><Relationship Id="rId13" Type="http://schemas.openxmlformats.org/officeDocument/2006/relationships/hyperlink" Target="http://online.zakon.kz/Document/?doc_id=3825985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9291893" TargetMode="External"/><Relationship Id="rId12" Type="http://schemas.openxmlformats.org/officeDocument/2006/relationships/hyperlink" Target="http://online.zakon.kz/Document/?doc_id=39350953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0118747" TargetMode="External"/><Relationship Id="rId11" Type="http://schemas.openxmlformats.org/officeDocument/2006/relationships/hyperlink" Target="http://online.zakon.kz/Document/?doc_id=340743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11839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link_id=1009216790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0118747" TargetMode="External"/><Relationship Id="rId14" Type="http://schemas.openxmlformats.org/officeDocument/2006/relationships/hyperlink" Target="http://online.zakon.kz/Document/?doc_id=301187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5265</Words>
  <Characters>30013</Characters>
  <Application>Microsoft Office Word</Application>
  <DocSecurity>0</DocSecurity>
  <Lines>250</Lines>
  <Paragraphs>70</Paragraphs>
  <ScaleCrop>false</ScaleCrop>
  <Company/>
  <LinksUpToDate>false</LinksUpToDate>
  <CharactersWithSpaces>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2026-03-18T10:37:00Z</dcterms:created>
  <dcterms:modified xsi:type="dcterms:W3CDTF">2026-03-18T10:37:00Z</dcterms:modified>
</cp:coreProperties>
</file>