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AA" w:rsidRPr="00332305" w:rsidRDefault="00171EAA" w:rsidP="00BE76EA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332305">
        <w:rPr>
          <w:rFonts w:ascii="Arial" w:hAnsi="Arial" w:cs="Arial"/>
          <w:b/>
          <w:sz w:val="20"/>
          <w:szCs w:val="20"/>
        </w:rPr>
        <w:t>Приказ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Министра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здравоохранения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Республики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Казахстан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№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Қ</w:t>
      </w:r>
      <w:proofErr w:type="gramStart"/>
      <w:r w:rsidRPr="00332305">
        <w:rPr>
          <w:rFonts w:ascii="Arial" w:hAnsi="Arial" w:cs="Arial"/>
          <w:b/>
          <w:sz w:val="20"/>
          <w:szCs w:val="20"/>
        </w:rPr>
        <w:t>Р</w:t>
      </w:r>
      <w:proofErr w:type="gramEnd"/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ДСМ-40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от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14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декабря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2018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года</w:t>
      </w:r>
    </w:p>
    <w:p w:rsidR="00171EAA" w:rsidRPr="00332305" w:rsidRDefault="00171EAA" w:rsidP="00BE76EA">
      <w:pPr>
        <w:pStyle w:val="a8"/>
        <w:ind w:firstLine="426"/>
        <w:jc w:val="center"/>
        <w:rPr>
          <w:rFonts w:ascii="Arial" w:hAnsi="Arial" w:cs="Arial"/>
          <w:i/>
          <w:sz w:val="20"/>
          <w:szCs w:val="20"/>
        </w:rPr>
      </w:pPr>
      <w:r w:rsidRPr="00332305">
        <w:rPr>
          <w:rFonts w:ascii="Arial" w:hAnsi="Arial" w:cs="Arial"/>
          <w:i/>
          <w:sz w:val="20"/>
          <w:szCs w:val="20"/>
        </w:rPr>
        <w:t>Зарегистрирован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в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Министерстве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юстиции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Республики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Казахстан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21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декабря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2018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года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№</w:t>
      </w:r>
      <w:r w:rsidR="00BE76EA">
        <w:rPr>
          <w:rFonts w:ascii="Arial" w:hAnsi="Arial" w:cs="Arial"/>
          <w:i/>
          <w:sz w:val="20"/>
          <w:szCs w:val="20"/>
        </w:rPr>
        <w:t xml:space="preserve"> </w:t>
      </w:r>
      <w:r w:rsidRPr="00332305">
        <w:rPr>
          <w:rFonts w:ascii="Arial" w:hAnsi="Arial" w:cs="Arial"/>
          <w:i/>
          <w:sz w:val="20"/>
          <w:szCs w:val="20"/>
        </w:rPr>
        <w:t>17995</w:t>
      </w:r>
    </w:p>
    <w:p w:rsidR="00171EAA" w:rsidRPr="00332305" w:rsidRDefault="00171EAA" w:rsidP="00BE76EA">
      <w:pPr>
        <w:pStyle w:val="a8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332305">
        <w:rPr>
          <w:rFonts w:ascii="Arial" w:hAnsi="Arial" w:cs="Arial"/>
          <w:b/>
          <w:sz w:val="20"/>
          <w:szCs w:val="20"/>
        </w:rPr>
        <w:t>Об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утверждении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Санитарных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правил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"Санитарно-эпидемиологические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требования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к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организации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и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проведению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санитарно-противоэпидемических,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санитарно-профилактических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мероприятий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по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предупреждению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особо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опасных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инфекционных</w:t>
      </w:r>
      <w:r w:rsidR="00BE76EA">
        <w:rPr>
          <w:rFonts w:ascii="Arial" w:hAnsi="Arial" w:cs="Arial"/>
          <w:b/>
          <w:sz w:val="20"/>
          <w:szCs w:val="20"/>
        </w:rPr>
        <w:t xml:space="preserve"> </w:t>
      </w:r>
      <w:r w:rsidRPr="00332305">
        <w:rPr>
          <w:rFonts w:ascii="Arial" w:hAnsi="Arial" w:cs="Arial"/>
          <w:b/>
          <w:sz w:val="20"/>
          <w:szCs w:val="20"/>
        </w:rPr>
        <w:t>заболеваний"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anchor="z1478" w:history="1">
        <w:r w:rsidR="00171EAA" w:rsidRPr="00332305">
          <w:rPr>
            <w:rStyle w:val="a4"/>
            <w:rFonts w:ascii="Arial" w:hAnsi="Arial" w:cs="Arial"/>
            <w:sz w:val="20"/>
            <w:szCs w:val="20"/>
          </w:rPr>
          <w:t>пунктом</w:t>
        </w:r>
        <w:r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171EAA" w:rsidRPr="00332305">
          <w:rPr>
            <w:rStyle w:val="a4"/>
            <w:rFonts w:ascii="Arial" w:hAnsi="Arial" w:cs="Arial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144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ПРИКАЗЫВАЮ: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Утвердить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прилагаемые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BE76EA">
        <w:rPr>
          <w:rFonts w:ascii="Arial" w:hAnsi="Arial" w:cs="Arial"/>
          <w:sz w:val="20"/>
          <w:szCs w:val="20"/>
        </w:rPr>
        <w:t>Санитарные</w:t>
      </w:r>
      <w:r w:rsidRPr="00BE76EA">
        <w:rPr>
          <w:rFonts w:ascii="Arial" w:hAnsi="Arial" w:cs="Arial"/>
          <w:sz w:val="20"/>
          <w:szCs w:val="20"/>
        </w:rPr>
        <w:t xml:space="preserve"> </w:t>
      </w:r>
      <w:r w:rsidR="00171EAA" w:rsidRPr="00BE76EA">
        <w:rPr>
          <w:rFonts w:ascii="Arial" w:hAnsi="Arial" w:cs="Arial"/>
          <w:sz w:val="20"/>
          <w:szCs w:val="20"/>
        </w:rPr>
        <w:t>правила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"Санитарно-эпидемиологические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организации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проведению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санитарно-противоэпидемических,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санитарно-профилактических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мероприятий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предупреждению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особо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опасных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инфекционных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заболеваний".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1EAA" w:rsidRPr="00332305">
        <w:rPr>
          <w:rFonts w:ascii="Arial" w:hAnsi="Arial" w:cs="Arial"/>
          <w:sz w:val="20"/>
          <w:szCs w:val="20"/>
        </w:rPr>
        <w:t>Признать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утратившим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силу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anchor="z262" w:history="1">
        <w:r w:rsidR="00171EAA" w:rsidRPr="00332305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национальной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экономики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136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Санитарных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"Санитарно-эпидемиологические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организации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проведению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(профилактических)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мероприятий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предупреждению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особо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опасных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инфекционных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заболеваний"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10694,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информационно-правовой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"</w:t>
      </w:r>
      <w:proofErr w:type="spellStart"/>
      <w:r w:rsidR="00171EAA" w:rsidRPr="00332305">
        <w:rPr>
          <w:rFonts w:ascii="Arial" w:hAnsi="Arial" w:cs="Arial"/>
          <w:sz w:val="20"/>
          <w:szCs w:val="20"/>
        </w:rPr>
        <w:t>Әділет</w:t>
      </w:r>
      <w:proofErr w:type="spellEnd"/>
      <w:r w:rsidR="00171EAA" w:rsidRPr="00332305">
        <w:rPr>
          <w:rFonts w:ascii="Arial" w:hAnsi="Arial" w:cs="Arial"/>
          <w:sz w:val="20"/>
          <w:szCs w:val="20"/>
        </w:rPr>
        <w:t>");</w:t>
      </w:r>
      <w:proofErr w:type="gramEnd"/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Комитету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1EAA" w:rsidRPr="00332305">
        <w:rPr>
          <w:rFonts w:ascii="Arial" w:hAnsi="Arial" w:cs="Arial"/>
          <w:sz w:val="20"/>
          <w:szCs w:val="20"/>
        </w:rPr>
        <w:t>охраны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общественного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здоровья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порядке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обеспечить: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государственную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регистрацию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Казахстан;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календарных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направление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копии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электронном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виде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казахском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русском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языках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Республиканское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государственное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предприятие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праве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хозяйственного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"Республиканский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центр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правовой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информации"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опубликования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включения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Эталонный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контрольный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банк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Казахстан;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размещение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EAA" w:rsidRPr="00332305">
        <w:rPr>
          <w:rFonts w:ascii="Arial" w:hAnsi="Arial" w:cs="Arial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опубликования;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представление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юридической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службы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сведений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исполнении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мероприятий,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1EAA" w:rsidRPr="00332305">
        <w:rPr>
          <w:rFonts w:ascii="Arial" w:hAnsi="Arial" w:cs="Arial"/>
          <w:sz w:val="20"/>
          <w:szCs w:val="20"/>
        </w:rPr>
        <w:t>предусмотренных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подпунктами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1),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пункта.</w:t>
      </w:r>
    </w:p>
    <w:p w:rsidR="00171EA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исполнением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1EAA" w:rsidRPr="00332305"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1EAA" w:rsidRPr="00332305">
        <w:rPr>
          <w:rFonts w:ascii="Arial" w:hAnsi="Arial" w:cs="Arial"/>
          <w:sz w:val="20"/>
          <w:szCs w:val="20"/>
        </w:rPr>
        <w:t>курирующего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Казахстан.</w:t>
      </w:r>
    </w:p>
    <w:p w:rsidR="00171EAA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вводится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действие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истечении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календарных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171EAA" w:rsidRPr="00332305">
        <w:rPr>
          <w:rFonts w:ascii="Arial" w:hAnsi="Arial" w:cs="Arial"/>
          <w:sz w:val="20"/>
          <w:szCs w:val="20"/>
        </w:rPr>
        <w:t>опубликования.</w:t>
      </w:r>
    </w:p>
    <w:p w:rsidR="00BE76EA" w:rsidRPr="00332305" w:rsidRDefault="00BE76E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171EAA" w:rsidRPr="00BE76EA" w:rsidTr="00171EA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171EAA" w:rsidRPr="00BE76EA" w:rsidRDefault="00171EAA" w:rsidP="00BE76EA">
            <w:pPr>
              <w:pStyle w:val="a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4"/>
            <w:bookmarkEnd w:id="0"/>
            <w:r w:rsidRPr="00BE76EA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BE76EA" w:rsidRPr="00BE76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E76EA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BE76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E76EA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BE76EA" w:rsidRPr="00BE76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E76EA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BE76EA" w:rsidRPr="00BE76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171EAA" w:rsidRPr="00BE76EA" w:rsidRDefault="00171EAA" w:rsidP="00BE76EA">
            <w:pPr>
              <w:pStyle w:val="a8"/>
              <w:ind w:firstLine="42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6EA">
              <w:rPr>
                <w:rFonts w:ascii="Arial" w:hAnsi="Arial" w:cs="Arial"/>
                <w:b/>
                <w:i/>
                <w:sz w:val="20"/>
                <w:szCs w:val="20"/>
              </w:rPr>
              <w:t>Е.</w:t>
            </w:r>
            <w:r w:rsidR="00BE76EA" w:rsidRPr="00BE76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E76EA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171EAA" w:rsidRPr="00332305" w:rsidRDefault="00171EAA" w:rsidP="00BE76EA">
      <w:pPr>
        <w:pStyle w:val="a8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1EAA" w:rsidRPr="00171EAA" w:rsidTr="00171E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1EAA" w:rsidRPr="00171EAA" w:rsidRDefault="00BE76EA" w:rsidP="00BE76E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171EAA" w:rsidRPr="00171EAA" w:rsidRDefault="00171EAA" w:rsidP="00BE76E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5"/>
            <w:bookmarkEnd w:id="1"/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ҚРДСМ-40</w:t>
            </w:r>
          </w:p>
        </w:tc>
      </w:tr>
    </w:tbl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Санитарные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опасных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инфекционных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заболеваний"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128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инвалидизацией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зоонозных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сапронозов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(грызуны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(препарата)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импрегнация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инсектицидами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(соприкосновение)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стационарно-неблагополучный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урочище,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(падеж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скотомогильники,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биотермические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(ядохимикатов);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санитарно-защитная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селитебных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(рельефа,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извне;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(энзоотия)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ядохимикатов;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(больного/трупа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синантропные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эктопаразиты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(насекомые).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сибирской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язвы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переработкой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агромелиоративных,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изыскательских,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гидромелиоративных,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сибиреязвенных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2295</w:t>
        </w:r>
      </w:hyperlink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мясоперерабатывающих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СНП.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z6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ветеринарно-санитарный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мясопродуктов,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вывезенные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контактировавших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(поименно),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контактировавшими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везикул,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карбункула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струпья,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спинномозговая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испражнения,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экссудаты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II-группы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3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15990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биопробных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царапинами,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ссадинами,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контаминированных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паровоздушного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пароформалинового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50-70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(выноса)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туляремии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(март-июнь,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сентябрь-октябрь)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дезинструктор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биотопам;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стадах;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популяциях;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зерно-фураж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ландшафтно-географическое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предусматривающую: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(дератизация,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2295</w:t>
        </w:r>
      </w:hyperlink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пойменно-болотного,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предгорно-ручьевого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мелиораторам,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пойменно-болотных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ревакцинация.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конъюктивитами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паротитами,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туляремию;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абдоминальной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конъюнктивально-бубонной,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ангинозно-бубонной,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язвенно-бубонной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среднетяжелом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(бокс);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кожно-бубонной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37,5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(поименно),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зерно-фураж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(блохи,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зерно-фураж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II-группы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(умерших)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хозяйственно-питьевого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(дезинсекция),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(обрабатывать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заклещеванных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непроницаемость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мясокомбинатах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шкурок.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(иксодовые,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гамазовые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краснотельковые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подворьях,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садово-огородных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(весна/лето).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Конго-Крымской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геморрагической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лихорадки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Конго-Крымской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март-июне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сентябре-декабре),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биотопам;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заклещеванности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заклещеванности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заклещеванности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предусматривающую: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рибонуклеиновая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(дезинсекция,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окультуривание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(препаратов)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самопроизвольных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скотопомещений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сенокосы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(плановой)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(комбинезон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капюшоном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(сапоги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нитриловых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импрегнацией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акарорепеллентами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незапланированных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z398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z400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ветеринарии";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подворьях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z398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z400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ветеринарии";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(дезинсекция)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травостоя,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z65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окрестностях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общесанитарные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(механическая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креолином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домовладельцы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z1548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Hyalomma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asiaticum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азиатикум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марте-июле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сентябре-октябре,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Hyalomma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anatolicum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азиатикум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июле-августе.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Dermacentor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niveus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дермацентор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нивеус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Hyalomma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гиалома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2,5-3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Ixodes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Иксодес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противовирусными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(поименно),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I-типа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противовирусными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II-группы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иммуноферментным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ИФА),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(животноводческие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дезинфектантами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домовладение,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II-типа,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(сапоги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акарорепелленты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порошковидные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инсектоакарицидные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импрегнации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Импрегнацию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перчатках.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геморрагической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лихорадки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почечным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синдромом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МЗПГ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(апрель-май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октябрь-декабрь);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хантавирусного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хантавирусом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мышевидных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ландшафтно-географическое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антропургических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500-метровой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непроницаемости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(октябрь-декабрь);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энзоотичной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(поименно),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II-III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лесхозов,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олигоурия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500-метровой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непроницаемости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мышевидных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(поселковой)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500-метровой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приманки;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родентицидных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бешенства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(территориальности),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2295</w:t>
        </w:r>
      </w:hyperlink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таксидермистам,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кинологам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патологоанатомам.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(пострадавших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(отделений).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(поименно),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умерщвлению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(кабинеты)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(обильное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водно-мыльным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ссадин),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водно-мыльным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иссекают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зашивают,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(наставлением)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иммуноглобулина;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(наставлением)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противостолбнячных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045/у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6697).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Покусавшие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покусавшее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прекращается.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антирабического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листериоза</w:t>
      </w:r>
      <w:proofErr w:type="spell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контаминацией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бактерионосителей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z1704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18-летнего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(халаты,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клеенчатые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рецидивирующими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(ветеринарные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мясокомбинатов,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молочно-товарных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звероферм,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биофабрик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животными);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гриппоподобными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отягощенным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акушерско-гинекологическим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(самопроизвольный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(хозяйства),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листерионосителей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ротоглотки,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меконий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околоплодная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урогенитального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экссудаты,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(печень,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III-группы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(неблагополучном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Реконвалесценты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листерионосители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бессимптомные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листерионосители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врача-инфекциониста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лептоспироза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синантропных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гидромелиоративных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шахтеры;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конно-спортивные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зоопарки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возделыванию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anchor="z1704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(халаты,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клеенчатые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(хозяйства),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цереброспинальная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экссудаты,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другие);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санитарно-разъяснительная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филиалами.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III-группы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(серологическим,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окулистом,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реконвалесцентов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(окулистам,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z1547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предупреждению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бруцеллеза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(мясоперерабатывающие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молокозаводы).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(абортированный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противоэпизоотических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зоонозного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210/у),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11626).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эпизоотолого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(хозяйствующего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скотомогильников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(биотермических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трупосжигательных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(клеенчатых)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мыла;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(ветеринарно-санитарные)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бруцеллеза;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18-летнего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бруцеллезу;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(халаты,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клеенчатые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душевых;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спецодежды;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противобруцеллезного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противобруцеллезных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противобруцеллезного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вирулентными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мясокомбинатах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молокозаводах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anchor="z1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механизаторы,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каракулевых,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первично-латентным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anchor="z1704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благополучных.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anchor="z1704" w:history="1"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71EAA" w:rsidRPr="00171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Хеддельсона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201.Территориальные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(инфекционист,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клинико-иммунологических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санитарно-противоэпидемических,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санитарно-профилактических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транспортировке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захоронении</w:t>
      </w:r>
      <w:proofErr w:type="gramEnd"/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трупа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человека,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умершего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опасного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инфекционного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заболевания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Конго-Крымская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Эбола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Марбург,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Рифт-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менингоккоковая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КВГЛ)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подвергаются.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прозекторской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консультантов-специалистов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подозрении;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прозекторской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прозекторской,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прополоскать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марганцево-кислого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простыню,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прозекторской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прозекторской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эвисцерации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разбрызгивание,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"на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(анатомические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врач-патологоанатом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настилают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ветоши,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растворами.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подогретым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необеззараженных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канализацию.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скальпелем).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обеззараживаются.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инфекции.</w:t>
      </w:r>
      <w:proofErr w:type="gramEnd"/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соприкасавшиеся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обеззараживанию.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прополаскивают,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обтирают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промаркированной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(пеплом)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I-II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(останков)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КВГЛ,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мелиоидоза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заворачивается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вирулицидным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КВГЛ)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заворачивают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противочумных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гидропультом,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канистрами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растворами.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закапывают.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Эксгумация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эксгумации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перезахоронения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продезинфицируются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эксгумации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перезахоронении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(резиновые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(респираторы))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перезахоронением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перезахоронение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жизнеспособностью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вирулентностью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acillus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anthracis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антрацис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контаминированных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71EAA" w:rsidRPr="00171EAA" w:rsidTr="00171E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71EAA" w:rsidRPr="00171EAA" w:rsidRDefault="00BE76EA" w:rsidP="00BE76E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171EAA" w:rsidRPr="00171EAA" w:rsidRDefault="00171EAA" w:rsidP="00BE76E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657"/>
            <w:bookmarkEnd w:id="2"/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Санитарным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</w:t>
            </w:r>
            <w:bookmarkStart w:id="3" w:name="z658"/>
            <w:bookmarkEnd w:id="3"/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эпидемиологические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проведению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противоэпидемических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санитарно-профилактических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предупреждению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опасных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инфекционных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заболеваний"</w:t>
            </w:r>
          </w:p>
        </w:tc>
      </w:tr>
    </w:tbl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Математический</w:t>
      </w:r>
      <w:proofErr w:type="gramEnd"/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рассчет</w:t>
      </w:r>
      <w:proofErr w:type="spellEnd"/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площади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защитной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полосы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вокруг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населенных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пунктов.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измерениях.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планиметр.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7D94A1" wp14:editId="74BB9FFA">
            <wp:extent cx="5857875" cy="1485900"/>
            <wp:effectExtent l="0" t="0" r="9525" b="0"/>
            <wp:docPr id="5" name="Рисунок 5" descr="http://adilet.zan.kz/files/1163/8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63/87/0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AA" w:rsidRPr="00171EAA" w:rsidRDefault="00171EAA" w:rsidP="00BE7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2(a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b).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треугольника-это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abc</w:t>
      </w:r>
      <w:proofErr w:type="spellEnd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4a,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полосы: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обработке;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AA"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171EAA" w:rsidRPr="00171EAA" w:rsidRDefault="00171EAA" w:rsidP="0084279B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сверху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схемы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противоклещевых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200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метровой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защитной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полосы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вокруг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села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населенных</w:t>
      </w:r>
      <w:r w:rsidR="00BE7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пунктов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F54290" wp14:editId="48077B2F">
            <wp:extent cx="5572125" cy="3228975"/>
            <wp:effectExtent l="0" t="0" r="9525" b="9525"/>
            <wp:docPr id="4" name="Рисунок 4" descr="http://adilet.zan.kz/files/1163/8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63/87/1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D90FD" wp14:editId="3D802EB9">
            <wp:extent cx="552450" cy="285750"/>
            <wp:effectExtent l="0" t="0" r="0" b="0"/>
            <wp:docPr id="3" name="Рисунок 3" descr="http://adilet.zan.kz/files/1163/8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63/87/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AA" w:rsidRDefault="00171EAA" w:rsidP="00BE7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D4FDD" wp14:editId="3D3DB743">
            <wp:extent cx="647700" cy="295275"/>
            <wp:effectExtent l="0" t="0" r="0" b="9525"/>
            <wp:docPr id="2" name="Рисунок 2" descr="http://adilet.zan.kz/files/1163/8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63/87/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AA" w:rsidRPr="00171EAA" w:rsidRDefault="00171EAA" w:rsidP="00BE7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метровая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171EAA" w:rsidRPr="00171EAA" w:rsidRDefault="00BE76E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AC676D" wp14:editId="08086B29">
            <wp:extent cx="561975" cy="323850"/>
            <wp:effectExtent l="0" t="0" r="9525" b="0"/>
            <wp:docPr id="1" name="Рисунок 1" descr="http://adilet.zan.kz/files/1163/8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163/87/4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AA" w:rsidRDefault="00171EAA" w:rsidP="00BE76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</w:t>
      </w:r>
      <w:proofErr w:type="gramEnd"/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подлежащая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противоклещевой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обработке.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рассчет</w:t>
      </w:r>
      <w:proofErr w:type="spellEnd"/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обработок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(дератизации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дезинсекции)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МИО)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(городских,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районных):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(подготовка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села,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соответственно);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(организатор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района)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(определение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пункте);</w:t>
      </w:r>
    </w:p>
    <w:p w:rsidR="00171EAA" w:rsidRPr="00171EAA" w:rsidRDefault="00171EAA" w:rsidP="00BE76E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ветеринарного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(информирует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скотопомещений</w:t>
      </w:r>
      <w:proofErr w:type="spellEnd"/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2F6B" w:rsidRPr="0084279B" w:rsidRDefault="00171EAA" w:rsidP="0084279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(информирует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расходуемых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171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</w:t>
      </w:r>
      <w:r w:rsidR="00BE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полосы).</w:t>
      </w:r>
      <w:bookmarkStart w:id="4" w:name="_GoBack"/>
      <w:bookmarkEnd w:id="4"/>
    </w:p>
    <w:sectPr w:rsidR="00542F6B" w:rsidRPr="0084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F66"/>
    <w:multiLevelType w:val="multilevel"/>
    <w:tmpl w:val="C7EE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AA"/>
    <w:rsid w:val="00171EAA"/>
    <w:rsid w:val="00332305"/>
    <w:rsid w:val="00542F6B"/>
    <w:rsid w:val="0084279B"/>
    <w:rsid w:val="00BE76EA"/>
    <w:rsid w:val="00D4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1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1E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EA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32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1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1E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EA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32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10000148_" TargetMode="External"/><Relationship Id="rId13" Type="http://schemas.openxmlformats.org/officeDocument/2006/relationships/hyperlink" Target="http://adilet.zan.kz/rus/docs/V1700015990" TargetMode="External"/><Relationship Id="rId18" Type="http://schemas.openxmlformats.org/officeDocument/2006/relationships/hyperlink" Target="http://adilet.zan.kz/rus/docs/K090000193_" TargetMode="External"/><Relationship Id="rId26" Type="http://schemas.openxmlformats.org/officeDocument/2006/relationships/hyperlink" Target="http://adilet.zan.kz/rus/docs/K090000193_" TargetMode="External"/><Relationship Id="rId39" Type="http://schemas.openxmlformats.org/officeDocument/2006/relationships/hyperlink" Target="http://adilet.zan.kz/rus/docs/K090000193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Z020000339_" TargetMode="External"/><Relationship Id="rId34" Type="http://schemas.openxmlformats.org/officeDocument/2006/relationships/hyperlink" Target="http://adilet.zan.kz/rus/docs/K090000193_" TargetMode="External"/><Relationship Id="rId42" Type="http://schemas.openxmlformats.org/officeDocument/2006/relationships/image" Target="media/image1.jpeg"/><Relationship Id="rId47" Type="http://schemas.openxmlformats.org/officeDocument/2006/relationships/fontTable" Target="fontTable.xml"/><Relationship Id="rId7" Type="http://schemas.openxmlformats.org/officeDocument/2006/relationships/hyperlink" Target="http://adilet.zan.kz/rus/docs/V1500010694" TargetMode="External"/><Relationship Id="rId12" Type="http://schemas.openxmlformats.org/officeDocument/2006/relationships/hyperlink" Target="http://adilet.zan.kz/rus/docs/Z020000339_" TargetMode="External"/><Relationship Id="rId17" Type="http://schemas.openxmlformats.org/officeDocument/2006/relationships/hyperlink" Target="http://adilet.zan.kz/rus/docs/K090000193_" TargetMode="External"/><Relationship Id="rId25" Type="http://schemas.openxmlformats.org/officeDocument/2006/relationships/hyperlink" Target="http://adilet.zan.kz/rus/docs/K090000193_" TargetMode="External"/><Relationship Id="rId33" Type="http://schemas.openxmlformats.org/officeDocument/2006/relationships/hyperlink" Target="http://adilet.zan.kz/rus/docs/K090000193_" TargetMode="External"/><Relationship Id="rId38" Type="http://schemas.openxmlformats.org/officeDocument/2006/relationships/hyperlink" Target="http://adilet.zan.kz/rus/docs/V1500011626" TargetMode="External"/><Relationship Id="rId46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adilet.zan.kz/rus/docs/K090000193_" TargetMode="External"/><Relationship Id="rId20" Type="http://schemas.openxmlformats.org/officeDocument/2006/relationships/hyperlink" Target="http://adilet.zan.kz/rus/docs/Z020000339_" TargetMode="External"/><Relationship Id="rId29" Type="http://schemas.openxmlformats.org/officeDocument/2006/relationships/hyperlink" Target="http://adilet.zan.kz/rus/docs/K090000193_" TargetMode="External"/><Relationship Id="rId41" Type="http://schemas.openxmlformats.org/officeDocument/2006/relationships/hyperlink" Target="http://adilet.zan.kz/rus/docs/K090000193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11" Type="http://schemas.openxmlformats.org/officeDocument/2006/relationships/hyperlink" Target="http://adilet.zan.kz/rus/docs/Z020000339_" TargetMode="External"/><Relationship Id="rId24" Type="http://schemas.openxmlformats.org/officeDocument/2006/relationships/hyperlink" Target="http://adilet.zan.kz/rus/docs/K090000193_" TargetMode="External"/><Relationship Id="rId32" Type="http://schemas.openxmlformats.org/officeDocument/2006/relationships/hyperlink" Target="http://adilet.zan.kz/rus/docs/V1000006697" TargetMode="External"/><Relationship Id="rId37" Type="http://schemas.openxmlformats.org/officeDocument/2006/relationships/hyperlink" Target="http://adilet.zan.kz/rus/docs/K090000193_" TargetMode="External"/><Relationship Id="rId40" Type="http://schemas.openxmlformats.org/officeDocument/2006/relationships/hyperlink" Target="http://adilet.zan.kz/rus/docs/K090000193_" TargetMode="External"/><Relationship Id="rId45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090000193_" TargetMode="External"/><Relationship Id="rId23" Type="http://schemas.openxmlformats.org/officeDocument/2006/relationships/hyperlink" Target="http://adilet.zan.kz/rus/docs/V1800017995" TargetMode="External"/><Relationship Id="rId28" Type="http://schemas.openxmlformats.org/officeDocument/2006/relationships/hyperlink" Target="http://adilet.zan.kz/rus/docs/K090000193_" TargetMode="External"/><Relationship Id="rId36" Type="http://schemas.openxmlformats.org/officeDocument/2006/relationships/hyperlink" Target="http://adilet.zan.kz/rus/docs/K090000193_" TargetMode="External"/><Relationship Id="rId10" Type="http://schemas.openxmlformats.org/officeDocument/2006/relationships/hyperlink" Target="http://adilet.zan.kz/rus/docs/P090002295_" TargetMode="External"/><Relationship Id="rId19" Type="http://schemas.openxmlformats.org/officeDocument/2006/relationships/hyperlink" Target="http://adilet.zan.kz/rus/docs/Z020000339_" TargetMode="External"/><Relationship Id="rId31" Type="http://schemas.openxmlformats.org/officeDocument/2006/relationships/hyperlink" Target="http://adilet.zan.kz/rus/docs/Z020000339_" TargetMode="External"/><Relationship Id="rId44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2295_" TargetMode="External"/><Relationship Id="rId14" Type="http://schemas.openxmlformats.org/officeDocument/2006/relationships/hyperlink" Target="http://adilet.zan.kz/rus/docs/P090002295_" TargetMode="External"/><Relationship Id="rId22" Type="http://schemas.openxmlformats.org/officeDocument/2006/relationships/hyperlink" Target="http://adilet.zan.kz/rus/docs/Z020000339_" TargetMode="External"/><Relationship Id="rId27" Type="http://schemas.openxmlformats.org/officeDocument/2006/relationships/hyperlink" Target="http://adilet.zan.kz/rus/docs/K090000193_" TargetMode="External"/><Relationship Id="rId30" Type="http://schemas.openxmlformats.org/officeDocument/2006/relationships/hyperlink" Target="http://adilet.zan.kz/rus/docs/P090002295_" TargetMode="External"/><Relationship Id="rId35" Type="http://schemas.openxmlformats.org/officeDocument/2006/relationships/hyperlink" Target="http://adilet.zan.kz/rus/docs/K090000193_" TargetMode="External"/><Relationship Id="rId43" Type="http://schemas.openxmlformats.org/officeDocument/2006/relationships/image" Target="media/image2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51</Pages>
  <Words>18438</Words>
  <Characters>105102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6</cp:revision>
  <dcterms:created xsi:type="dcterms:W3CDTF">2019-01-09T04:58:00Z</dcterms:created>
  <dcterms:modified xsi:type="dcterms:W3CDTF">2019-01-09T08:11:00Z</dcterms:modified>
</cp:coreProperties>
</file>