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7A" w:rsidRPr="000F68BD" w:rsidRDefault="00DA5A7A" w:rsidP="000F68BD">
      <w:pPr>
        <w:jc w:val="center"/>
        <w:rPr>
          <w:rFonts w:ascii="Arial" w:hAnsi="Arial" w:cs="Arial"/>
          <w:b/>
          <w:sz w:val="20"/>
          <w:szCs w:val="20"/>
        </w:rPr>
      </w:pPr>
      <w:r w:rsidRPr="000F68BD">
        <w:rPr>
          <w:rFonts w:ascii="Arial" w:hAnsi="Arial" w:cs="Arial"/>
          <w:b/>
          <w:sz w:val="20"/>
          <w:szCs w:val="20"/>
        </w:rPr>
        <w:t>РЕКОМЕНДАЦИЯ</w:t>
      </w:r>
      <w:r w:rsidR="000F68BD">
        <w:rPr>
          <w:rFonts w:ascii="Arial" w:hAnsi="Arial" w:cs="Arial"/>
          <w:b/>
          <w:sz w:val="20"/>
          <w:szCs w:val="20"/>
        </w:rPr>
        <w:t xml:space="preserve"> </w:t>
      </w:r>
      <w:r w:rsidRPr="000F68BD">
        <w:rPr>
          <w:rFonts w:ascii="Arial" w:hAnsi="Arial" w:cs="Arial"/>
          <w:b/>
          <w:sz w:val="20"/>
          <w:szCs w:val="20"/>
        </w:rPr>
        <w:t>Коллегии</w:t>
      </w:r>
      <w:r w:rsidR="000F68BD">
        <w:rPr>
          <w:rFonts w:ascii="Arial" w:hAnsi="Arial" w:cs="Arial"/>
          <w:b/>
          <w:sz w:val="20"/>
          <w:szCs w:val="20"/>
        </w:rPr>
        <w:t xml:space="preserve"> </w:t>
      </w:r>
      <w:r w:rsidRPr="000F68BD">
        <w:rPr>
          <w:rFonts w:ascii="Arial" w:hAnsi="Arial" w:cs="Arial"/>
          <w:b/>
          <w:sz w:val="20"/>
          <w:szCs w:val="20"/>
        </w:rPr>
        <w:t>Евразийской</w:t>
      </w:r>
      <w:r w:rsidR="000F68BD">
        <w:rPr>
          <w:rFonts w:ascii="Arial" w:hAnsi="Arial" w:cs="Arial"/>
          <w:b/>
          <w:sz w:val="20"/>
          <w:szCs w:val="20"/>
        </w:rPr>
        <w:t xml:space="preserve"> </w:t>
      </w:r>
      <w:r w:rsidRPr="000F68BD">
        <w:rPr>
          <w:rFonts w:ascii="Arial" w:hAnsi="Arial" w:cs="Arial"/>
          <w:b/>
          <w:sz w:val="20"/>
          <w:szCs w:val="20"/>
        </w:rPr>
        <w:t>экономической</w:t>
      </w:r>
      <w:r w:rsidR="000F68BD">
        <w:rPr>
          <w:rFonts w:ascii="Arial" w:hAnsi="Arial" w:cs="Arial"/>
          <w:b/>
          <w:sz w:val="20"/>
          <w:szCs w:val="20"/>
        </w:rPr>
        <w:t xml:space="preserve"> </w:t>
      </w:r>
      <w:r w:rsidRPr="000F68BD">
        <w:rPr>
          <w:rFonts w:ascii="Arial" w:hAnsi="Arial" w:cs="Arial"/>
          <w:b/>
          <w:sz w:val="20"/>
          <w:szCs w:val="20"/>
        </w:rPr>
        <w:t>комиссии</w:t>
      </w:r>
      <w:r w:rsidR="000F68BD">
        <w:rPr>
          <w:rFonts w:ascii="Arial" w:hAnsi="Arial" w:cs="Arial"/>
          <w:b/>
          <w:sz w:val="20"/>
          <w:szCs w:val="20"/>
        </w:rPr>
        <w:t xml:space="preserve"> </w:t>
      </w:r>
      <w:r w:rsidRPr="000F68BD">
        <w:rPr>
          <w:rFonts w:ascii="Arial" w:hAnsi="Arial" w:cs="Arial"/>
          <w:b/>
          <w:sz w:val="20"/>
          <w:szCs w:val="20"/>
        </w:rPr>
        <w:t>№17</w:t>
      </w:r>
      <w:r w:rsidR="000F68BD">
        <w:rPr>
          <w:rFonts w:ascii="Arial" w:hAnsi="Arial" w:cs="Arial"/>
          <w:b/>
          <w:sz w:val="20"/>
          <w:szCs w:val="20"/>
        </w:rPr>
        <w:t xml:space="preserve"> </w:t>
      </w:r>
      <w:r w:rsidRPr="000F68BD">
        <w:rPr>
          <w:rFonts w:ascii="Arial" w:hAnsi="Arial" w:cs="Arial"/>
          <w:b/>
          <w:sz w:val="20"/>
          <w:szCs w:val="20"/>
        </w:rPr>
        <w:t>от</w:t>
      </w:r>
      <w:r w:rsidR="000F68BD">
        <w:rPr>
          <w:rFonts w:ascii="Arial" w:hAnsi="Arial" w:cs="Arial"/>
          <w:b/>
          <w:sz w:val="20"/>
          <w:szCs w:val="20"/>
        </w:rPr>
        <w:t xml:space="preserve"> </w:t>
      </w:r>
      <w:r w:rsidRPr="000F68BD">
        <w:rPr>
          <w:rFonts w:ascii="Arial" w:hAnsi="Arial" w:cs="Arial"/>
          <w:b/>
          <w:sz w:val="20"/>
          <w:szCs w:val="20"/>
        </w:rPr>
        <w:t>7</w:t>
      </w:r>
      <w:r w:rsidR="000F68BD">
        <w:rPr>
          <w:rFonts w:ascii="Arial" w:hAnsi="Arial" w:cs="Arial"/>
          <w:b/>
          <w:sz w:val="20"/>
          <w:szCs w:val="20"/>
        </w:rPr>
        <w:t xml:space="preserve"> </w:t>
      </w:r>
      <w:r w:rsidRPr="000F68BD">
        <w:rPr>
          <w:rFonts w:ascii="Arial" w:hAnsi="Arial" w:cs="Arial"/>
          <w:b/>
          <w:sz w:val="20"/>
          <w:szCs w:val="20"/>
        </w:rPr>
        <w:t>сентября</w:t>
      </w:r>
      <w:r w:rsidR="000F68BD">
        <w:rPr>
          <w:rFonts w:ascii="Arial" w:hAnsi="Arial" w:cs="Arial"/>
          <w:b/>
          <w:sz w:val="20"/>
          <w:szCs w:val="20"/>
        </w:rPr>
        <w:t xml:space="preserve"> </w:t>
      </w:r>
      <w:r w:rsidRPr="000F68BD">
        <w:rPr>
          <w:rFonts w:ascii="Arial" w:hAnsi="Arial" w:cs="Arial"/>
          <w:b/>
          <w:sz w:val="20"/>
          <w:szCs w:val="20"/>
        </w:rPr>
        <w:t>2018</w:t>
      </w:r>
      <w:r w:rsidR="000F68BD">
        <w:rPr>
          <w:rFonts w:ascii="Arial" w:hAnsi="Arial" w:cs="Arial"/>
          <w:b/>
          <w:sz w:val="20"/>
          <w:szCs w:val="20"/>
        </w:rPr>
        <w:t xml:space="preserve"> </w:t>
      </w:r>
      <w:r w:rsidRPr="000F68BD">
        <w:rPr>
          <w:rFonts w:ascii="Arial" w:hAnsi="Arial" w:cs="Arial"/>
          <w:b/>
          <w:sz w:val="20"/>
          <w:szCs w:val="20"/>
        </w:rPr>
        <w:t>года</w:t>
      </w:r>
    </w:p>
    <w:p w:rsidR="00DA5A7A" w:rsidRPr="000F68BD" w:rsidRDefault="00DA5A7A" w:rsidP="000F68B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F68BD">
        <w:rPr>
          <w:rFonts w:ascii="Arial" w:eastAsia="Times New Roman" w:hAnsi="Arial" w:cs="Arial"/>
          <w:b/>
          <w:sz w:val="20"/>
          <w:szCs w:val="20"/>
          <w:lang w:eastAsia="ru-RU"/>
        </w:rPr>
        <w:t>О</w:t>
      </w:r>
      <w:r w:rsidR="000F68B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0F68BD">
        <w:rPr>
          <w:rFonts w:ascii="Arial" w:eastAsia="Times New Roman" w:hAnsi="Arial" w:cs="Arial"/>
          <w:b/>
          <w:sz w:val="20"/>
          <w:szCs w:val="20"/>
          <w:lang w:eastAsia="ru-RU"/>
        </w:rPr>
        <w:t>Руководстве</w:t>
      </w:r>
      <w:r w:rsidR="000F68B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0F68BD">
        <w:rPr>
          <w:rFonts w:ascii="Arial" w:eastAsia="Times New Roman" w:hAnsi="Arial" w:cs="Arial"/>
          <w:b/>
          <w:sz w:val="20"/>
          <w:szCs w:val="20"/>
          <w:lang w:eastAsia="ru-RU"/>
        </w:rPr>
        <w:t>по</w:t>
      </w:r>
      <w:r w:rsidR="000F68B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0F68BD">
        <w:rPr>
          <w:rFonts w:ascii="Arial" w:eastAsia="Times New Roman" w:hAnsi="Arial" w:cs="Arial"/>
          <w:b/>
          <w:sz w:val="20"/>
          <w:szCs w:val="20"/>
          <w:lang w:eastAsia="ru-RU"/>
        </w:rPr>
        <w:t>качеству</w:t>
      </w:r>
      <w:r w:rsidR="000F68B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0F68BD">
        <w:rPr>
          <w:rFonts w:ascii="Arial" w:eastAsia="Times New Roman" w:hAnsi="Arial" w:cs="Arial"/>
          <w:b/>
          <w:sz w:val="20"/>
          <w:szCs w:val="20"/>
          <w:lang w:eastAsia="ru-RU"/>
        </w:rPr>
        <w:t>лекарственных</w:t>
      </w:r>
      <w:r w:rsidR="000F68B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0F68BD">
        <w:rPr>
          <w:rFonts w:ascii="Arial" w:eastAsia="Times New Roman" w:hAnsi="Arial" w:cs="Arial"/>
          <w:b/>
          <w:sz w:val="20"/>
          <w:szCs w:val="20"/>
          <w:lang w:eastAsia="ru-RU"/>
        </w:rPr>
        <w:t>препаратов</w:t>
      </w:r>
      <w:r w:rsidR="000F68B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0F68BD">
        <w:rPr>
          <w:rFonts w:ascii="Arial" w:eastAsia="Times New Roman" w:hAnsi="Arial" w:cs="Arial"/>
          <w:b/>
          <w:sz w:val="20"/>
          <w:szCs w:val="20"/>
          <w:lang w:eastAsia="ru-RU"/>
        </w:rPr>
        <w:t>для</w:t>
      </w:r>
      <w:r w:rsidR="000F68B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0F68BD">
        <w:rPr>
          <w:rFonts w:ascii="Arial" w:eastAsia="Times New Roman" w:hAnsi="Arial" w:cs="Arial"/>
          <w:b/>
          <w:sz w:val="20"/>
          <w:szCs w:val="20"/>
          <w:lang w:eastAsia="ru-RU"/>
        </w:rPr>
        <w:t>ингаляций</w:t>
      </w:r>
      <w:r w:rsidR="000F68B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0F68BD">
        <w:rPr>
          <w:rFonts w:ascii="Arial" w:eastAsia="Times New Roman" w:hAnsi="Arial" w:cs="Arial"/>
          <w:b/>
          <w:sz w:val="20"/>
          <w:szCs w:val="20"/>
          <w:lang w:eastAsia="ru-RU"/>
        </w:rPr>
        <w:t>и</w:t>
      </w:r>
      <w:r w:rsidR="000F68B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0F68BD">
        <w:rPr>
          <w:rFonts w:ascii="Arial" w:eastAsia="Times New Roman" w:hAnsi="Arial" w:cs="Arial"/>
          <w:b/>
          <w:sz w:val="20"/>
          <w:szCs w:val="20"/>
          <w:lang w:eastAsia="ru-RU"/>
        </w:rPr>
        <w:t>назальных</w:t>
      </w:r>
      <w:r w:rsidR="000F68B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0F68BD">
        <w:rPr>
          <w:rFonts w:ascii="Arial" w:eastAsia="Times New Roman" w:hAnsi="Arial" w:cs="Arial"/>
          <w:b/>
          <w:sz w:val="20"/>
          <w:szCs w:val="20"/>
          <w:lang w:eastAsia="ru-RU"/>
        </w:rPr>
        <w:t>лекарственных</w:t>
      </w:r>
      <w:r w:rsidR="000F68B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0F68BD">
        <w:rPr>
          <w:rFonts w:ascii="Arial" w:eastAsia="Times New Roman" w:hAnsi="Arial" w:cs="Arial"/>
          <w:b/>
          <w:sz w:val="20"/>
          <w:szCs w:val="20"/>
          <w:lang w:eastAsia="ru-RU"/>
        </w:rPr>
        <w:t>препаратов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Евразийской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Евразийском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Евразийского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Евразийского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предъявляемым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proofErr w:type="gram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назальных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препаратов,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Евразийского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Евразийского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досье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назальных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досье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</w:t>
      </w:r>
      <w:proofErr w:type="gram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назальных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приложению.</w:t>
      </w:r>
    </w:p>
    <w:p w:rsidR="00DA5A7A" w:rsidRPr="000F68BD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F68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Председатель</w:t>
      </w:r>
      <w:r w:rsidR="000F68BD" w:rsidRPr="000F68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F68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Коллегии</w:t>
      </w:r>
      <w:r w:rsidR="000F68BD" w:rsidRPr="000F68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F68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Евразийской</w:t>
      </w:r>
      <w:r w:rsidR="000F68BD" w:rsidRPr="000F68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F68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экономической</w:t>
      </w:r>
      <w:r w:rsidR="000F68BD" w:rsidRPr="000F68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F68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комиссии</w:t>
      </w:r>
      <w:r w:rsidR="000F68BD" w:rsidRPr="000F68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0F68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Т.</w:t>
      </w:r>
      <w:r w:rsidR="000F68BD" w:rsidRPr="000F68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F68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Саркисян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bookmarkStart w:id="0" w:name="_GoBack"/>
      <w:bookmarkEnd w:id="0"/>
    </w:p>
    <w:p w:rsidR="00DA5A7A" w:rsidRPr="00DA5A7A" w:rsidRDefault="00DA5A7A" w:rsidP="00DA5A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Коллегии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Евразийской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РУКОВОДСТВО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качеству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лекарственных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препаратов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ингаляций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назальных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лекарственных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препаратов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положения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назальных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препараты),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досье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подают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Евразийского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государства-члены,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Союз):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форм;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документов;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досье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распространяется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слизистой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оболочке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действия.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Изложенные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исследованиях.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исследованиях,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выпускаемого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государств-членов,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подробная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субстанций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(действующих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исследованиях.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касающиеся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аспектов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вымываемых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веществ).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касающиеся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аспектов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примеси,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валидация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стабильность,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спецификации),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прокачке)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преимущественно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каскадного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импактора</w:t>
      </w:r>
      <w:proofErr w:type="spellEnd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Соответствующая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содержится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Фармакопее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фармакопеях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государств-членов,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фармакопеях,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VI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гармонизации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фармакопей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Евразийского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Евразийской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119,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стандартах.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Фармакопее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фармакопеях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государств-членов.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</w:t>
      </w:r>
      <w:proofErr w:type="gram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</w:t>
      </w:r>
      <w:proofErr w:type="gramEnd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(распыления),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испытаний.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касающихся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воспроизведенных)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досье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указания,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Руководством.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субстанции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синтетического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полусинтетического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происхождения.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Руководством,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легкие: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аэрозоли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дозированные;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порошки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дозированные;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неаэрозольные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дозированные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ингаляций;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аэрозоли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назальные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дозированные;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спреи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назальные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дозированные;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спреи;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назальные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порошки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назальные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капли.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ингаляционные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анестетики,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назальные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мази,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Руководства.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Определения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означают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следующее: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«активация»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activation</w:t>
      </w:r>
      <w:proofErr w:type="spellEnd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высвобождению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(распыления);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«аэрозоль»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pressurised</w:t>
      </w:r>
      <w:proofErr w:type="spellEnd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лекарственная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представляющая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эмульсию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суспензию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пропеллента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герметичной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(аэрозольный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баллон),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снабженной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(распыления),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высвобождение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дисперсии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введения;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«аэрозоль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дозированный»,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«аэрозольный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дозирующий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ингалятор»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pressurised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metered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dose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inhaler</w:t>
      </w:r>
      <w:proofErr w:type="spellEnd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аэрозоль,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предназначенный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ингаляционного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доставляющий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однократного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высвобождение;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«аэрозоль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назальный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дозированный»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pressurised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metered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dose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nasal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spray</w:t>
      </w:r>
      <w:proofErr w:type="spellEnd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аэрозоль,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предназначенный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назального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доставляющий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однократного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высвобождение;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«вымываемые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вещества»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leachables</w:t>
      </w:r>
      <w:proofErr w:type="spellEnd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соединения,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выделяться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(укупорки)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попадать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лекарственную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применения;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«высвобождение»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actuation</w:t>
      </w:r>
      <w:proofErr w:type="spellEnd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(распыления);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«геометрическое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стандартное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отклонение»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geometric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standard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deviation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(GSD))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получаемое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накопленной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массы,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отсечения,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отсечения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рассчитанное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формуле</w:t>
      </w:r>
      <w:proofErr w:type="gram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397BD1" wp14:editId="0C4FEAF4">
            <wp:extent cx="952500" cy="361950"/>
            <wp:effectExtent l="0" t="0" r="0" b="0"/>
            <wp:docPr id="1" name="Рисунок 1" descr="recom komissii e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com komissii eek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«доза»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dose</w:t>
      </w:r>
      <w:proofErr w:type="spellEnd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высвобождений;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«доставляемая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доза»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delivered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dose</w:t>
      </w:r>
      <w:proofErr w:type="spellEnd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осевшего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частях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ингалятора);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«жидкость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ингаляций»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product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nebulization</w:t>
      </w:r>
      <w:proofErr w:type="spellEnd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предназначенный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небулайзера</w:t>
      </w:r>
      <w:proofErr w:type="spellEnd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«интервал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дозирования»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dosing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interval</w:t>
      </w:r>
      <w:proofErr w:type="spellEnd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промежуток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препарате;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«масс-медианный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аэродинамический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диаметр»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mass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median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aerodynamic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diameter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(MMAD))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единичной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плотности,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конечную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оседания,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рассматриваемая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частица,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определяемый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накопленной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массы,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отсечения,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отсечения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условии,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заявленный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отсечения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50,00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процента;</w:t>
      </w:r>
      <w:proofErr w:type="gramEnd"/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«минимальная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доставляемая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доза»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minimum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delivered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dose</w:t>
      </w:r>
      <w:proofErr w:type="spellEnd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наименьшая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доза,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препарате,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выраженная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величине</w:t>
      </w:r>
      <w:proofErr w:type="gram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доставляемой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дозы;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«назальный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препарат»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nasal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product</w:t>
      </w:r>
      <w:proofErr w:type="spellEnd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(включая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(распыления),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применимо),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глотки,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оказываемое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фармакологическое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местным,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системным;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неаэрозольный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дозированный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ингаляций»,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неаэрозольный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дозирующий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ингалятор»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non-pressurised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metered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dose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inhaler</w:t>
      </w:r>
      <w:proofErr w:type="spellEnd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представляющий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суспензию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эмульсию,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доставляющий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однократного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высвобождение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портативного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(распыления);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небулайзер</w:t>
      </w:r>
      <w:proofErr w:type="spellEnd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nebulizer</w:t>
      </w:r>
      <w:proofErr w:type="spellEnd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ингалятор,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распыления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дисперсию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энергии.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Небулайзер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дисперсных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подходящего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легкие;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«отмеренная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доза»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metered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dose</w:t>
      </w:r>
      <w:proofErr w:type="spellEnd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содержащееся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дозирующей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(распыления);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«порошок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дозированный»,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«порошок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дозированный»,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«порошковый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ингалятор,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дозированный»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dry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powder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inhaler</w:t>
      </w:r>
      <w:proofErr w:type="spellEnd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pre-metered</w:t>
      </w:r>
      <w:proofErr w:type="spellEnd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снабженный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дозирующим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отмеренное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порошка,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капсулы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блистерную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упаковку;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порошок</w:t>
      </w:r>
      <w:proofErr w:type="gram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дозированный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дозирующим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устройством»,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«порошковый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ингалятор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дозирующим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устройством»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dry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powder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inhaler</w:t>
      </w:r>
      <w:proofErr w:type="spellEnd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device-metered</w:t>
      </w:r>
      <w:proofErr w:type="spellEnd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резервуар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порошком,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дозируемым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высвобождения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(распыления);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«препарат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ингаляций»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inhalation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product</w:t>
      </w:r>
      <w:proofErr w:type="spellEnd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предназначенный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дисперсий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эффекта;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«прокачка»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pumping</w:t>
      </w:r>
      <w:proofErr w:type="spellEnd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(распыления),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входящего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(укупорки),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высвобождений;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респирабельная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фракция»,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«масса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мелкодисперсных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частиц»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fine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particle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mass</w:t>
      </w:r>
      <w:proofErr w:type="spellEnd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предположительно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проникающее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(частицы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диаметром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приблизительно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мкм);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«система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(укупорки)»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container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closure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system</w:t>
      </w:r>
      <w:proofErr w:type="spellEnd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–совокупность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упаковочных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укупорочных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компонентов,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заключают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лекарственную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защищают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ее,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использоваться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(распыления);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спейсер</w:t>
      </w:r>
      <w:proofErr w:type="spellEnd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вспомогательное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представляющее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резервуар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высвобожденного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ингаляций;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«спрей»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spray</w:t>
      </w:r>
      <w:proofErr w:type="spellEnd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грубодисперсная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аэрозолем,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пропеллента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высвобождение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содержимого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воздуха,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создаваемого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распылителя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сжатии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полимерной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упаковки;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«спрей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назальный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дозированный»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non-pressurised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metered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dose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nasal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spray</w:t>
      </w:r>
      <w:proofErr w:type="spellEnd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спрей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назального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представляющий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суспензию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эмульсию,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доставляющий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однократного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высвобождение;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«терапевтический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индекс»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therapeutic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index</w:t>
      </w:r>
      <w:proofErr w:type="spellEnd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дозы,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вызывающей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токсичность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тест-системы,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дозе,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терапевтического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тест-системы;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«устройство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(распыления)»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delivery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device</w:t>
      </w:r>
      <w:proofErr w:type="spellEnd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(укупорки),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(препарат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глотки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(назальный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препарат);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«целевая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доставляемая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доза»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target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delivered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dose</w:t>
      </w:r>
      <w:proofErr w:type="spellEnd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высвободиться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(распыления)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высвобождений,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эквивалентных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однократного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применения;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«целевое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доставляемое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количество»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target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delivery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amount</w:t>
      </w:r>
      <w:proofErr w:type="spellEnd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высвободиться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(распыления)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(вне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пускового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высвобождение;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«экстрагируемые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вещества»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extractables</w:t>
      </w:r>
      <w:proofErr w:type="spellEnd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соединения,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экстрагироваться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(укупорки)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стрессовых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активную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фармацевтическую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субстанцию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активную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фармацевтическую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субстанцию,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представляющую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жидкость,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активную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фармацевтическую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субстанцию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валидированную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лазерной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дифракции)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приемлемости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размеру.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постоянство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процентах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заданном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размеров.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медианный,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серий,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показавших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приемлемые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vivo</w:t>
      </w:r>
      <w:proofErr w:type="spellEnd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фармацевтическая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субстанция,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получаемая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производителей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субстанции,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эквивалентности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субстанции.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Фармацевтическая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лекарственного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препарата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впоследствии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приемлемые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целью: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формы;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процесса;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(укупорки);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микробиологических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параметров;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фармакологических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фармацевтическая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учитывается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межсерийная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вариабельность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дозировки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(укупорки)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сериях.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упакованных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(укупорки),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устройствами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доставки,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(укупорки).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дозировок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вместимости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испытуемых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брекетинг</w:t>
      </w:r>
      <w:proofErr w:type="spellEnd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матричное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достаточную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убедиться,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подвергаются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рутинным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прокачке),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изучены.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Необязательно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серии,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исследованиях,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охарактеризовать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серии,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исследованиях.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Лекарственные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препараты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ингаляций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ингаляций),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Исследования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фармацевтической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разработке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лекарственных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препаратов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ингаляций</w:t>
      </w:r>
    </w:p>
    <w:tbl>
      <w:tblPr>
        <w:tblW w:w="2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6"/>
        <w:gridCol w:w="1283"/>
        <w:gridCol w:w="1201"/>
        <w:gridCol w:w="1435"/>
        <w:gridCol w:w="1184"/>
        <w:gridCol w:w="1289"/>
        <w:gridCol w:w="1397"/>
      </w:tblGrid>
      <w:tr w:rsidR="00DA5A7A" w:rsidRPr="00DA5A7A" w:rsidTr="00DA5A7A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фармацевтической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Аэрозоли</w:t>
            </w:r>
          </w:p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ингаляций</w:t>
            </w:r>
          </w:p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Порошки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Жидкости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Неаэрозольные</w:t>
            </w:r>
            <w:proofErr w:type="spellEnd"/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дозированные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ингаляций</w:t>
            </w:r>
          </w:p>
        </w:tc>
      </w:tr>
      <w:tr w:rsidR="00DA5A7A" w:rsidRPr="00DA5A7A" w:rsidTr="00DA5A7A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дозирующим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однодозовые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многодозовые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A7A" w:rsidRPr="00DA5A7A" w:rsidTr="00DA5A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физических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DA5A7A" w:rsidRPr="00DA5A7A" w:rsidTr="00DA5A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минимального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A5A7A" w:rsidRPr="00DA5A7A" w:rsidTr="00DA5A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Экстрагируемые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вымываемые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A5A7A" w:rsidRPr="00DA5A7A" w:rsidTr="00DA5A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Однородность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доставляемой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дозы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респирабельная</w:t>
            </w:r>
            <w:proofErr w:type="spellEnd"/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фракция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A5A7A" w:rsidRPr="00DA5A7A" w:rsidTr="00DA5A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Однородность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доставляемой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дозы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респирабельная</w:t>
            </w:r>
            <w:proofErr w:type="spellEnd"/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фракция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диапазоне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скоростей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5A7A" w:rsidRPr="00DA5A7A" w:rsidTr="00DA5A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Респирабельная</w:t>
            </w:r>
            <w:proofErr w:type="spellEnd"/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фракция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использовании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спейсера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5A7A" w:rsidRPr="00DA5A7A" w:rsidTr="00DA5A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Респирабельная</w:t>
            </w:r>
            <w:proofErr w:type="spellEnd"/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фракция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A5A7A" w:rsidRPr="00DA5A7A" w:rsidTr="00DA5A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</w:t>
            </w:r>
          </w:p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(капель)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A5A7A" w:rsidRPr="00DA5A7A" w:rsidTr="00DA5A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Оседание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пусковом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механизме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(мундштуке)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составных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A5A7A" w:rsidRPr="00DA5A7A" w:rsidTr="00DA5A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доставки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действующего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доставляемое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5A7A" w:rsidRPr="00DA5A7A" w:rsidTr="00DA5A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A7A" w:rsidRPr="00DA5A7A" w:rsidTr="00DA5A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первичной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повторной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прокачке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A5A7A" w:rsidRPr="00DA5A7A" w:rsidTr="00DA5A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A5A7A" w:rsidRPr="00DA5A7A" w:rsidTr="00DA5A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низких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5A7A" w:rsidRPr="00DA5A7A" w:rsidTr="00DA5A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температурной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цикличностью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A5A7A" w:rsidRPr="00DA5A7A" w:rsidTr="00DA5A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окружающей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5A7A" w:rsidRPr="00DA5A7A" w:rsidTr="00DA5A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(робастность)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A5A7A" w:rsidRPr="00DA5A7A" w:rsidTr="00DA5A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доставки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(распыления)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A5A7A" w:rsidRPr="00DA5A7A" w:rsidTr="00DA5A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DA5A7A" w:rsidRPr="00DA5A7A" w:rsidTr="00DA5A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Совместимость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5A7A" w:rsidRPr="00DA5A7A" w:rsidTr="00DA5A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встряхиванию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</w:tbl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суспензий.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Start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консерванта.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Руководства,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любому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</w:t>
      </w:r>
      <w:proofErr w:type="gram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встряхивание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порошковых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ингаляторов).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эксплуатационных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(распыления)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потребоваться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воспроизведенных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модулям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досье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</w:t>
      </w:r>
      <w:proofErr w:type="gramEnd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предусмотренными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Евразийской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78.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Установление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физических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</w:t>
      </w:r>
      <w:proofErr w:type="gramEnd"/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3.2.P.2.1.1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3.2.P.2.1.2)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растворимость,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плотность,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шероховатость,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кристаллическая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однородность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постоянными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функциональными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свойствами.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субстанции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функциональность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микронизации</w:t>
      </w:r>
      <w:proofErr w:type="spellEnd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применимо).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Обоснование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минимального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объема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(массы)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заполнения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</w:t>
      </w:r>
      <w:proofErr w:type="gramEnd"/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3.2.P.2.2.2)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аэрозолей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дозированных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порошков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</w:t>
      </w:r>
      <w:proofErr w:type="gram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дозированных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дозирующим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подтвердить,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заполняемый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контейнера,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достаточен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активаций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дозирующего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(распылений,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доз),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однородность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доставляемых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респирабельная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фракция.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Высвобождения,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прокачки,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активаций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дозирующего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(распылений,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доз).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26.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дозированных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порошков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содержимого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дозированной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однородность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доставляемых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респирабельная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фракция.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27.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дозированных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порошков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содержимого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дозированной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оправданы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однородность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доставляемых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респирабельная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фракция.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жидкостей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содержимого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принципами,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изложенными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Руководстве.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Экстрагируемые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вещества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вымываемые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вещества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</w:t>
      </w:r>
      <w:proofErr w:type="gramEnd"/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3.2.P.2.4)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28.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Фармакопею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фармакопеи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государств-членов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пластиковых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резиновых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(укупорки),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вступают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клапаны),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профилей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экстрагируемых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вымываемых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веществ.</w:t>
      </w:r>
      <w:proofErr w:type="gram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растворители,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(годности))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какие-либо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экстрагируемые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вымываемыми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(выделяемыми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контейнером)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веществами,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попадающими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лекарственную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равновесия,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наступает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быстрее.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экстрагируемых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вымываемых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пластиковых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резиновых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(укупорки),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Фармакопею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фармакопеи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государств-членов.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29.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соединений,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вымываемыми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веществами,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порогами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содержащиеся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досье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применения).</w:t>
      </w:r>
      <w:proofErr w:type="gramEnd"/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вымываемые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(критериев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приемлемости)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применимо)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корреляцию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профилями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экстрагируемых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вымываемых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корреляции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экстрагируемых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вымываемых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компонентах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экстрагируемые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вымываемые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компонентах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сырье,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(критериев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приемлемости)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вымываемых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рутинный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вымываемых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Респирабельная</w:t>
      </w:r>
      <w:proofErr w:type="spellEnd"/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фракция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использования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контейнера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однородность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доставляемой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дозы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</w:t>
      </w:r>
      <w:proofErr w:type="gramEnd"/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3.2.P.2.4)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31.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доставляемой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высвобождений)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респирабельной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фракции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контейнера,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(первая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прокачки,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прокачки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информацией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дозы,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ингаляций.</w:t>
      </w:r>
      <w:proofErr w:type="gram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инструкцией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медицинскому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(листком-вкладышем)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хранению,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минимальному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дозирования.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начале,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середине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контейнера.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32.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однородности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доставляемой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респирабельной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фракции.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Фармакопеи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обоснованы.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33.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дозой,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опустошения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однородность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доставляемой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дозы,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респирабельной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фракции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применимо)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опустошения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(убывания).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серий.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блокирующий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предотвращающий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Респирабельная</w:t>
      </w:r>
      <w:proofErr w:type="spellEnd"/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фракция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однородность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доставляемой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дозы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диапазоне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скоростей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потоков,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аналогичных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скоростям,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создаваемым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пациентом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</w:t>
      </w:r>
      <w:proofErr w:type="gramEnd"/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3.2.P.2.4)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34.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доставляемой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респирабельной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фракции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скоростей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потоков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(через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доставки),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достигаемых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популяцией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пациентов,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минимальную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10-й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процентиль</w:t>
      </w:r>
      <w:proofErr w:type="spellEnd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медианную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максимальную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90-й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процентиль</w:t>
      </w:r>
      <w:proofErr w:type="spellEnd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достигаемую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скоростей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потоков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опубликованным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доставки.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35.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минимальная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потока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приемлемую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дозу)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потока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Респирабельная</w:t>
      </w:r>
      <w:proofErr w:type="spellEnd"/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фракция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использовании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спейсера</w:t>
      </w:r>
      <w:proofErr w:type="spellEnd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удерживающей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камеры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</w:t>
      </w:r>
      <w:proofErr w:type="gramEnd"/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3.2.P.2.4)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36.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спейсера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удерживающей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камеры,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респирабельной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фракции.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спейсера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удерживающей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эксплуатации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еженедельная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очистка),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респирабельной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фракции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спейсера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удерживающей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камеры.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респирабельной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фракции,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используемую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рутинных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испытаниях,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модифицировать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имитации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спейсера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удерживающей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2-секундная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задержка,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дыхание).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респирабельной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фракции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значимости,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спейсера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удерживающей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камеры.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Респирабельная</w:t>
      </w:r>
      <w:proofErr w:type="spellEnd"/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фракция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одной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дозе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</w:t>
      </w:r>
      <w:proofErr w:type="gramEnd"/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3.2.P.2.4)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37.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рутинной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респирабельной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фракции,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минимальную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рекомендуемую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возможности).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респирабельную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фракцию,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включенном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пробы,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превышающий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минимальную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рекомендуемую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дозу,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подтверждающее,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рутинно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эквивалентные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получаемым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дозы.</w:t>
      </w:r>
      <w:proofErr w:type="gram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непроведения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низкодозовых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неэквивалентных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38.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респирабельной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фракции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дозы,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модифицированный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пробы.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анализом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каскадов.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объединяемых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каскадов.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чувствительности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невыполнимо,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непроведения</w:t>
      </w:r>
      <w:proofErr w:type="spellEnd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39.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респирабельной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фракции,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полученными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немодифицированным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серий.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значимости.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частиц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(капель)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размеру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</w:t>
      </w:r>
      <w:proofErr w:type="gramEnd"/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3.2.P.2.4)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40.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vivo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(опорных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исследованиях),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каскадах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серий,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исследованиях,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серий,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отражающих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41.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каскадный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импактор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импинджер</w:t>
      </w:r>
      <w:proofErr w:type="spellEnd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каскаде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кумулятивную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каскад.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доставляемой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маскировать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вариацию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доставляемой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дозы.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накопительной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(капель),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отсечения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заявляемых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отсечения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масс-медианный</w:t>
      </w:r>
      <w:proofErr w:type="gram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аэродинамический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геометрическое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стандартное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отклонение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применимо)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одномодального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логнормального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распределения).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поправку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42.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дозировок,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пропорциональность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респирабельной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фракции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размером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массы,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оседающей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сопле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импактора</w:t>
      </w:r>
      <w:proofErr w:type="spellEnd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43.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капель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лазерной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дифракции).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Оседание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пусковом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механизме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(мундштуке)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других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частях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ингалятора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</w:t>
      </w:r>
      <w:proofErr w:type="gramEnd"/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3.2.P.2.4)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44.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оседающего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пусковом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мундштуке,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частях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ингалятора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применимо)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корректирующему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фактору,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использованному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клапана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(вне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доставки),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Общее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доставляемое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действующего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вещества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скорость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доставки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действующего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вещества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</w:t>
      </w:r>
      <w:proofErr w:type="gramEnd"/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3.2.P.2.4)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45.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vivo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(опорных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исследованиях),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доставляемого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(то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дозы,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доставляемой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пациенту)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серий,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исследованиях.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валидированный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имитатор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дыхания).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Аэрозоль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небулайзерную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небулайзерные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vivo</w:t>
      </w:r>
      <w:proofErr w:type="spellEnd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встряхиванию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</w:t>
      </w:r>
      <w:proofErr w:type="gramEnd"/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3.2.P.2.4)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46.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требующих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встряхивание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информацией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ингаляций),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встряхиванию,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высвобождения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неточной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излишнего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встряхивания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однородности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доставляемой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дозы.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первичной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повторной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прокачке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</w:t>
      </w:r>
      <w:proofErr w:type="gramEnd"/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3.2.P.2.4)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47.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прокачки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высвобождений,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впустую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(высвобождение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прокачки)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потребителем.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положениях.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48.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прокачки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высвобождений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прокачки,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укладывались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однородности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доставляемых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49.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прокачке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медицинскому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потребителю.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Повторная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прокачка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контейнера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</w:t>
      </w:r>
      <w:proofErr w:type="gramEnd"/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3.2.P.2.4)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50.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обоснованность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(после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прокачки)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прокачки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рекомендациями,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приведенными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требуемое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высвобождений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прокачки.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положениях.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стадиях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контейнера.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множественные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высвобождений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прокачки,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укладывались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однородности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доставляемых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прокачке,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медицинскому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потребителю.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очистке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</w:t>
      </w:r>
      <w:proofErr w:type="gramEnd"/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3.2.P.2.4)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51.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очистке,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медицинскому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(включая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частоту),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однородности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доставляемой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респирабельной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фракции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капель.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пациентами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инструкциями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прокачке,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интервалами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дозирования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режимом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дозирования.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Функциональные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характеристики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низких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температурах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</w:t>
      </w:r>
      <w:proofErr w:type="gramEnd"/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3.2.P.2.4)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52.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замерзания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(0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ºC),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подвергнуть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испытанию.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53.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высвобождений,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укладывались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однородности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доставляемых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респирабельной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фракции.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выдерживает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высвобождений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прокачки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превышает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ингаляций),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продолжительности,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согревания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контейнеров,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54.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медицинскому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температурах.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согревания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контейнера.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переносящим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температуры,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обоснования.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Функциональные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характеристики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температурной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цикличности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</w:t>
      </w:r>
      <w:proofErr w:type="gramEnd"/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3.2.P.2.4)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55.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температурной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цикличности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положениях,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чередуя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замерзания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(0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ºC).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56.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суспензий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чередованием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ºC),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57.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осмотреть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видимых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утечки,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массе,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однородность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доставляемых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респирабельная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фракция,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влаги.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значимости.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Влияние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влажности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окружающей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среды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</w:t>
      </w:r>
      <w:proofErr w:type="gramEnd"/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3.2.P.2.4)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58.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влажности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дозированных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капсулы,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хрупкость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капсул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влажности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Устойчивость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(робастность)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</w:t>
      </w:r>
      <w:proofErr w:type="gramEnd"/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3.2.P.2.4)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59.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эксплуатационные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имитирующих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пациентами.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активация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частотой,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обозначенной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60.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имитации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доставки,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надежность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запирающего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61.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вибрационную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стабильность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порошковых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смесей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применении.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колебания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доставляемой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респирабельной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фракции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устройства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доставки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</w:t>
      </w:r>
      <w:proofErr w:type="gramEnd"/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3.2.P.2.4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3.2.R)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62.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доставки.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компонентов)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укрупнение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однокамерного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многокамерного)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доставляемую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дозу,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респирабельную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фракцию).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использовались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устройства-прототипы,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эквивалентность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(прототипов)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выпускаемому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государств-членов.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63.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порошковых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ингаляторов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дозирующим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предотвращающих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случайное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многократное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дозирование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последующее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вдыхание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пациентом.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64.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управляемых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дыханием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(активируемых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вдохом)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</w:t>
      </w:r>
      <w:proofErr w:type="gram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</w:t>
      </w:r>
      <w:proofErr w:type="gramEnd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(распыления)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подтверждающие,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доставки.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пациентами.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активацию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пускового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механизма.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65.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порошковый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ингалятор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дозирующим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счетчик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заполнения,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высвобождений,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обозначенное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счетчиков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многодозовые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Эффективность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консерванта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</w:t>
      </w:r>
      <w:proofErr w:type="gramEnd"/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3.2.P.2.5)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66.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консервант,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испытание,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подтверждающее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консерванта.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Совместимость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</w:t>
      </w:r>
      <w:proofErr w:type="gramEnd"/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3.2.P.2.6)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67.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разведению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введением,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совместимость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растворителями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разведений,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proofErr w:type="gram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состаренными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образцами,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охватывать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(годности)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разведенного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лекарственными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препаратами,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совместимость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лекарственными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препаратами,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лекарственные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принимаемые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68.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pH</w:t>
      </w:r>
      <w:proofErr w:type="spellEnd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капель,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(распыления)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(распыления),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осадка.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значимости.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Назальные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препараты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69.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назальных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назальных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испытаний.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Исследования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фармацевтической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разработке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назальных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препаратов</w:t>
      </w:r>
    </w:p>
    <w:tbl>
      <w:tblPr>
        <w:tblW w:w="2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1144"/>
        <w:gridCol w:w="1091"/>
        <w:gridCol w:w="1056"/>
        <w:gridCol w:w="1149"/>
        <w:gridCol w:w="1056"/>
        <w:gridCol w:w="1149"/>
        <w:gridCol w:w="1330"/>
      </w:tblGrid>
      <w:tr w:rsidR="00DA5A7A" w:rsidRPr="00DA5A7A" w:rsidTr="00DA5A7A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фармацевтической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Аэрозоли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назальные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дозированные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порошки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дозирующим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устройством)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жидкости</w:t>
            </w:r>
          </w:p>
        </w:tc>
      </w:tr>
      <w:tr w:rsidR="00DA5A7A" w:rsidRPr="00DA5A7A" w:rsidTr="00DA5A7A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однодозовые</w:t>
            </w:r>
            <w:proofErr w:type="spellEnd"/>
          </w:p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многодозовые</w:t>
            </w:r>
            <w:proofErr w:type="spellEnd"/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однодозовые</w:t>
            </w:r>
            <w:proofErr w:type="spellEnd"/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многодозовые</w:t>
            </w:r>
            <w:proofErr w:type="spellEnd"/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дозированные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недозированные</w:t>
            </w:r>
            <w:proofErr w:type="spellEnd"/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спреи</w:t>
            </w:r>
          </w:p>
        </w:tc>
      </w:tr>
      <w:tr w:rsidR="00DA5A7A" w:rsidRPr="00DA5A7A" w:rsidTr="00DA5A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физических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DA5A7A" w:rsidRPr="00DA5A7A" w:rsidTr="00DA5A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минимального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заполнения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(массы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A5A7A" w:rsidRPr="00DA5A7A" w:rsidTr="00DA5A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Экстрагируемые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вымываемые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A5A7A" w:rsidRPr="00DA5A7A" w:rsidTr="00DA5A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Однородность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доставляемой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дозы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5A7A" w:rsidRPr="00DA5A7A" w:rsidTr="00DA5A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Распределение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(капель)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A5A7A" w:rsidRPr="00DA5A7A" w:rsidTr="00DA5A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Оседание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пусковом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механизме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(мундштуке)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A5A7A" w:rsidRPr="00DA5A7A" w:rsidTr="00DA5A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встряхиванию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DA5A7A" w:rsidRPr="00DA5A7A" w:rsidTr="00DA5A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первичной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повторной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прокачке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A5A7A" w:rsidRPr="00DA5A7A" w:rsidTr="00DA5A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A5A7A" w:rsidRPr="00DA5A7A" w:rsidTr="00DA5A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низких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5A7A" w:rsidRPr="00DA5A7A" w:rsidTr="00DA5A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температурной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цикличности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A5A7A" w:rsidRPr="00DA5A7A" w:rsidTr="00DA5A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влажности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окружающей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5A7A" w:rsidRPr="00DA5A7A" w:rsidTr="00DA5A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(робастность)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A5A7A" w:rsidRPr="00DA5A7A" w:rsidTr="00DA5A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A5A7A" w:rsidRPr="00DA5A7A" w:rsidTr="00DA5A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Эффективность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DA5A7A" w:rsidRPr="00DA5A7A" w:rsidTr="00DA5A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выхода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содержимого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суспензий.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Start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консерванта.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70.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Руководства,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респирабельную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фракцию.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71.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назального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(капель)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размеру.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подтвердить,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оседание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назального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ограничивается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носовой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полостью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(капель)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превышает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микрон).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Производство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лекарственного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препарата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72.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номинальном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доставляемом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73.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дозировки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(укупорки)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proofErr w:type="gram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доставляемых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фасовке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упаковке.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74.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валидировать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однородности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рутинного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номинальных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содержимого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укупорки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аэрозольного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контейнера,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распылительного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утечку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аэрозолей,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укупоривание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блистеров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порошковых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ингаляторов,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крутящего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винтовых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насосов).</w:t>
      </w:r>
      <w:proofErr w:type="gramEnd"/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75.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подвергаться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внутрипроизводственному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высвобождения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выпускаемой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дозы)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применимо).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76.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аэрозолей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равновесия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испытанием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высвобождение,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аспектами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Вспомогательные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вещества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77.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фармакопейных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порошковых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ингаляторов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испытаниями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подходящие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многоточечные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(вспомогательных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лактозы)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гранул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серий,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vivo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(опорных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клинических),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регламентируемых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каскадного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импактора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импинджера</w:t>
      </w:r>
      <w:proofErr w:type="spellEnd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78.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обладающих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свойствами,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поддаются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(однако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препарата),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потребоваться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валидированным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пригодность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опираясь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какие-либо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применимо)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79.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микробиологической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чистоты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непроведения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рутинных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микробиологическую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чистоту.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1.Фармакопейные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вспомогательные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вещества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80.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подвергаются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Фармакопеей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фармакопеями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государств-членов.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условии,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стандартными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введения.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вспомогательное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изученным,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введения,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государства-члена.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Вспомогательные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вещества,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включенные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Фармакопею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Союза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(фармакопеи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государств-членов)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81.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регламентируется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фармакопейными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статьями,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безопасными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ингаляционном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назальном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введения.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Основываясь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включаемые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чистоты.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потребоваться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государств-членов.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(спецификации)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лекарственный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препарат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82.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включаемых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испытаниях,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включаются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(подлинность),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примесей,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деградации,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количественное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pH</w:t>
      </w:r>
      <w:proofErr w:type="spellEnd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спецификацию.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входящими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proofErr w:type="gram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государств-членов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83.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вариации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подтвердивших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приемлемость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vivo</w:t>
      </w:r>
      <w:proofErr w:type="spellEnd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приемлемости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(допустимые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нормы).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84.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учесть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стабильности.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различающиеся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(годности),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обосновать.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спецификаций,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(годности)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субстанций,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Евразийской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69,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утверждаемого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Комиссией.</w:t>
      </w:r>
      <w:proofErr w:type="gramEnd"/>
    </w:p>
    <w:p w:rsidR="00DA5A7A" w:rsidRPr="00DA5A7A" w:rsidRDefault="00DA5A7A" w:rsidP="00DA5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1.Препараты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ингаляций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85.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испытаний,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включаемых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испытаний.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Испытания,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включаемые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спецификацию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препараты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ингаляций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2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1"/>
        <w:gridCol w:w="1253"/>
        <w:gridCol w:w="1172"/>
        <w:gridCol w:w="1401"/>
        <w:gridCol w:w="1156"/>
        <w:gridCol w:w="1258"/>
        <w:gridCol w:w="1364"/>
      </w:tblGrid>
      <w:tr w:rsidR="00DA5A7A" w:rsidRPr="00DA5A7A" w:rsidTr="00DA5A7A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Испытания,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включаемые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спецификацию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Аэрозоли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Порошки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Жидкости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Неаэрозольные</w:t>
            </w:r>
            <w:proofErr w:type="spellEnd"/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дозированные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ингаляций</w:t>
            </w:r>
          </w:p>
        </w:tc>
      </w:tr>
      <w:tr w:rsidR="00DA5A7A" w:rsidRPr="00DA5A7A" w:rsidTr="00DA5A7A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дозирующим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однодозовые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многодозовые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A7A" w:rsidRPr="00DA5A7A" w:rsidTr="00DA5A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Описание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A5A7A" w:rsidRPr="00DA5A7A" w:rsidTr="00DA5A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Количественное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A5A7A" w:rsidRPr="00DA5A7A" w:rsidTr="00DA5A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DA5A7A" w:rsidRPr="00DA5A7A" w:rsidTr="00DA5A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доставляемая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A5A7A" w:rsidRPr="00DA5A7A" w:rsidTr="00DA5A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Однородность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доставляемых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A5A7A" w:rsidRPr="00DA5A7A" w:rsidTr="00DA5A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Однородность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дозированных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5A7A" w:rsidRPr="00DA5A7A" w:rsidTr="00DA5A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Респирабельная</w:t>
            </w:r>
            <w:proofErr w:type="spellEnd"/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A5A7A" w:rsidRPr="00DA5A7A" w:rsidTr="00DA5A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утечки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(герметичность)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5A7A" w:rsidRPr="00DA5A7A" w:rsidTr="00DA5A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Микробиологическая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A5A7A" w:rsidRPr="00DA5A7A" w:rsidTr="00DA5A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да3</w:t>
            </w:r>
          </w:p>
        </w:tc>
      </w:tr>
      <w:tr w:rsidR="00DA5A7A" w:rsidRPr="00DA5A7A" w:rsidTr="00DA5A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Вымываемые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A5A7A" w:rsidRPr="00DA5A7A" w:rsidTr="00DA5A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</w:tr>
      <w:tr w:rsidR="00DA5A7A" w:rsidRPr="00DA5A7A" w:rsidTr="00DA5A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высвобождений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влияет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Start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суспензий,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испытанием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небулайзерах</w:t>
      </w:r>
      <w:proofErr w:type="spellEnd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Start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стерилен.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Start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консерванта.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Описание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86.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</w:t>
      </w:r>
      <w:proofErr w:type="gram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действие),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применимо.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первичную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жидкостей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прозрачный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полиэтилена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плотности).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Количественное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87.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дозы,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однодозовых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дозу.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применяются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Фармакопее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фармакопеях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государств-членов.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влаги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88.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стабильности.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какие-либо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параметров,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доставляемая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доза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89.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доставляемой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однородность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доставляемой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корректировками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преобразования</w:t>
      </w:r>
      <w:proofErr w:type="gram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дозу»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высвобождение».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±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этикетке.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Однородность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доставляемых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доз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90.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однородность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доставляемых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методом,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Фармакопеей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фармакопеями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государств-членов,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валидированной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методике.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однородности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доставляемых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Фармакопеи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фармакопей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государств-членов,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вариабельности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однородности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доставляемых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</w:t>
      </w:r>
      <w:proofErr w:type="gram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(распыления)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устройствами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(распыления).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91.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представляющих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растворы,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однородность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доставляемых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взамен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однородности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доставляемых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Однородность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дозированных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единиц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(однородность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содержания)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92.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Однородность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образцов,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информацией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обосновать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Фармакопеи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фармакопей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государств-членов.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93.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представляющих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растворы,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однородность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доставляемых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взамен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однородность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Респирабельная</w:t>
      </w:r>
      <w:proofErr w:type="spellEnd"/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фракция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94.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респирабельной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фракции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валидированный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каскадного</w:t>
      </w:r>
      <w:proofErr w:type="gram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импактора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импинджера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валидированный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альтернативный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каскадов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диаметром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мкм,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пределы.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Предпочтительно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высвобождения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производный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параметр).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каскады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масс-медианного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аэродинамического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отклонения,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</w:t>
      </w:r>
      <w:proofErr w:type="gram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респирабельной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фракции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терапевтической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дозе.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фракции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превышающих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мкм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диаметре,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терапевтического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потребоваться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превышающих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мкм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диаметре.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95.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доставляемой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респирабельной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фракции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vivo</w:t>
      </w:r>
      <w:proofErr w:type="spellEnd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Скорость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утечки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(герметичность)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96.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утечки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(герметичности).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Микробиологическая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чистота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97.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микробиологическую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чистоту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методом,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Фармакопеей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фармакопеями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государств-членов.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Стерильность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98.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стерильность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методом,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Фармакопеей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фармакопеями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государств-членов.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Экстрагируемые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вещества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вымываемые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вещества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99.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экстрагируемые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</w:t>
      </w:r>
      <w:proofErr w:type="gram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вымываемые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невключении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экстрагируемых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вымываемых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консерванта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100.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количественное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консерванта.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высвобождений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контейнер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(количество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доз)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101.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подтвердить,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высвобождений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высвобождений,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Назальные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препараты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102.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испытаний,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включаются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назальные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назальных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испытаний.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описаниями,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приведенными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101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Руководства,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испытанием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(капель)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размеру,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применимо.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Испытания,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включаемые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спецификацию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назальные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препараты</w:t>
      </w:r>
    </w:p>
    <w:tbl>
      <w:tblPr>
        <w:tblW w:w="2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8"/>
        <w:gridCol w:w="1119"/>
        <w:gridCol w:w="1068"/>
        <w:gridCol w:w="1034"/>
        <w:gridCol w:w="1125"/>
        <w:gridCol w:w="1034"/>
        <w:gridCol w:w="1125"/>
        <w:gridCol w:w="1302"/>
      </w:tblGrid>
      <w:tr w:rsidR="00DA5A7A" w:rsidRPr="00DA5A7A" w:rsidTr="00DA5A7A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Испытания,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включаемые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спецификацию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назальный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Аэрозоли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порошки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дозирующим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устройством)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жидкости</w:t>
            </w:r>
          </w:p>
        </w:tc>
      </w:tr>
      <w:tr w:rsidR="00DA5A7A" w:rsidRPr="00DA5A7A" w:rsidTr="00DA5A7A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однодозовые</w:t>
            </w:r>
            <w:proofErr w:type="spellEnd"/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многодозовые</w:t>
            </w:r>
            <w:proofErr w:type="spellEnd"/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однодозовые</w:t>
            </w:r>
            <w:proofErr w:type="spellEnd"/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многодозовые</w:t>
            </w:r>
            <w:proofErr w:type="spellEnd"/>
          </w:p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дозированные</w:t>
            </w:r>
          </w:p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многодозовые</w:t>
            </w:r>
            <w:proofErr w:type="spellEnd"/>
          </w:p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недозированные</w:t>
            </w:r>
            <w:proofErr w:type="spellEnd"/>
          </w:p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спреи</w:t>
            </w:r>
          </w:p>
        </w:tc>
      </w:tr>
      <w:tr w:rsidR="00DA5A7A" w:rsidRPr="00DA5A7A" w:rsidTr="00DA5A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A5A7A" w:rsidRPr="00DA5A7A" w:rsidTr="00DA5A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Количественное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A5A7A" w:rsidRPr="00DA5A7A" w:rsidTr="00DA5A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5A7A" w:rsidRPr="00DA5A7A" w:rsidTr="00DA5A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доставляемая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5A7A" w:rsidRPr="00DA5A7A" w:rsidTr="00DA5A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Однородность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доставляемых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5A7A" w:rsidRPr="00DA5A7A" w:rsidTr="00DA5A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Однородность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дозированных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5A7A" w:rsidRPr="00DA5A7A" w:rsidTr="00DA5A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утечки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(герметичность)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5A7A" w:rsidRPr="00DA5A7A" w:rsidTr="00DA5A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Микробиологическая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A5A7A" w:rsidRPr="00DA5A7A" w:rsidTr="00DA5A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Стерильность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DA5A7A" w:rsidRPr="00DA5A7A" w:rsidTr="00DA5A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DA5A7A" w:rsidRPr="00DA5A7A" w:rsidTr="00DA5A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высвобождений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5A7A" w:rsidRPr="00DA5A7A" w:rsidTr="00DA5A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(капель)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A5A7A" w:rsidRPr="00DA5A7A" w:rsidTr="00DA5A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выхода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содержимого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A5A7A" w:rsidRPr="00DA5A7A" w:rsidTr="00DA5A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содержимого</w:t>
            </w:r>
            <w:r w:rsidR="000F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A7A" w:rsidRPr="00DA5A7A" w:rsidRDefault="00DA5A7A" w:rsidP="00DA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стерилен.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Start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консерванта.</w:t>
      </w:r>
    </w:p>
    <w:p w:rsidR="00DA5A7A" w:rsidRPr="00DA5A7A" w:rsidRDefault="000F68BD" w:rsidP="00DA5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A5A7A"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A5A7A"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A5A7A"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(капель)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A5A7A"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A5A7A"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размеру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103.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валидированный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каскадный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импактор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лазерную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дифракцию).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медианного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(капель)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(капель)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размером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мкм.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медианного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(капель)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размером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мкм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назальных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vivo</w:t>
      </w:r>
      <w:proofErr w:type="spellEnd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упаковки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(укупорки)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лекарственного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препарата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104.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(укупорки),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включаемым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спецификацию,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воспроизводимости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(распыления)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применимо).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аэрозолей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дозированных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аэрозолей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назальных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дозированных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доставляемой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аэрозолей,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отверстия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пускового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механизма.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105.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(укупорки),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Фармакопее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фармакопеям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государств-членов)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106.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оболочкой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емкостей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клапанов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оболочки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(включая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оболочкой.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107.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нефармакопейных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использованному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полимеру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добавленные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Устройства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доставки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(распыления),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включая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спейсеры</w:t>
      </w:r>
      <w:proofErr w:type="spellEnd"/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удерживающие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камеры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108.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(распыления)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общую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назальных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листок-вкладыш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(до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применения),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заправок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применимо).</w:t>
      </w:r>
      <w:proofErr w:type="gramEnd"/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109.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высокодозовых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стероидов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спейсер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удерживающая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камера,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валидировать</w:t>
      </w:r>
      <w:proofErr w:type="spellEnd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110.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спейсере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удерживающей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111.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Пригодность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спейсера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испытаниями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клиническими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исследованиями.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Стабильность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лекарственного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препарата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112.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субстанций.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контролируют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массе.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113.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аэрозоля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дозированного),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представляются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114.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вторичную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влажности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порошковые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ингаляторы,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обернутые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фольгой),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упаковки,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стабильности.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спецификацией.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информацией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препарате),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115.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упаковки.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назальных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исследованиям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фармацевтической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разработке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воспроизведенных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лекарственных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препаратов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ингаляций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назальных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лекарственных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препаратов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положения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воспроизведенных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назальных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препараты).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Воспроизведенные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оригинальному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референтному</w:t>
      </w:r>
      <w:proofErr w:type="spellEnd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лекарственному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препарату.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Терапевтическую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эквивалентность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оригинальному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референтному</w:t>
      </w:r>
      <w:proofErr w:type="spellEnd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лекарственному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vivo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(проведению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терапевтической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эквивалентности)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астмы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обструктивной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утверждаемым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Евразийской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комиссией.</w:t>
      </w:r>
      <w:proofErr w:type="gram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сопоставимость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воспроизведенного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референтного</w:t>
      </w:r>
      <w:proofErr w:type="spellEnd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Лекарственные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препараты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ингаляций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аэрозолей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дозированных,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порошковых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ингаляторов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дозирующим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дозирующих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небулайзеров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воспроизведенном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оригинальным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референтным</w:t>
      </w:r>
      <w:proofErr w:type="spellEnd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каскаде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каскадного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импактора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импинджера</w:t>
      </w:r>
      <w:proofErr w:type="spellEnd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потока,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скоростей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потока.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доставляемую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дозу.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жидкостей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распределение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капель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воспроизведенного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оригинальным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референтным</w:t>
      </w:r>
      <w:proofErr w:type="spellEnd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валидированного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лазерная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дифракция.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применимо,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аэрозоль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небулайзерных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vivo</w:t>
      </w:r>
      <w:proofErr w:type="spellEnd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воспроизведенных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оригинальному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суспензий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каскадах.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вариабельности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приведут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различиям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абсорбции.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серий,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vivo</w:t>
      </w:r>
      <w:proofErr w:type="spellEnd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отсутствовать.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разделов,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касающихся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касающегося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приводятся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пояснения: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однородность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доставляемой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респирабельная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фракция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скоростей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потоков,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создаваемых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пациентом,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vivo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скоростей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потока;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(капель)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vivo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серий,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отражающих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серии,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устройства),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сериями,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использованными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эквивалентности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доставляемое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vivo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серий,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отражающих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сериями,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использованными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эквивалентности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фармакопейные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vivo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(распределение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порошковых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основываться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сериях,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эквивалентности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экстрагируемые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вымываемые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основываться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сравнительном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воспроизведенного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референтного</w:t>
      </w:r>
      <w:proofErr w:type="spellEnd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составом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упаковки.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Назальные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лекарственные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препараты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воспроизведенных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назальных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назальные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препараты),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оригинальному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назальному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препарату,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терапевтической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эквивалентности,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зависеть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фармакологического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системного).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биоэквивалентности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Евразийского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Евразийской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85,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фармакокинетическому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клиническому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биоэквивалентности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модифицированным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высвобождением,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биоэквивалентности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липосомальных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биоэквивалентности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кортикостероидов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дерматологии,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утверждаемым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Евразийской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комиссией.</w:t>
      </w:r>
      <w:proofErr w:type="gramEnd"/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назальных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спреев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воспроизведенном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назальных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капель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валидированного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лазерная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дифракция.</w:t>
      </w:r>
      <w:proofErr w:type="gram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доставляемую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назальных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спреев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назальных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порошков.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назальных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капель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капель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воспроизведенного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референтного</w:t>
      </w:r>
      <w:proofErr w:type="spellEnd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назальных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вариабельности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приведут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различиям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абсорбции.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серий,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vivo</w:t>
      </w:r>
      <w:proofErr w:type="spellEnd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отсутствовать.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экстрагируемых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вымываемых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капель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</w:t>
      </w:r>
      <w:proofErr w:type="gram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именимы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пункта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назальных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информации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потребителей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медицинских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работников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положения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общую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специфичной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назальных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необходимая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общую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Евразийской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медицинскому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применения»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препарата).</w:t>
      </w:r>
      <w:proofErr w:type="gramEnd"/>
    </w:p>
    <w:p w:rsidR="00DA5A7A" w:rsidRPr="00DA5A7A" w:rsidRDefault="00DA5A7A" w:rsidP="00DA5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II.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Препараты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ингаляций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Качественный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количественный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(раздел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общей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характеристики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лекарственного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препарата)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</w:t>
      </w:r>
      <w:proofErr w:type="gram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аэ</w:t>
      </w:r>
      <w:proofErr w:type="gramEnd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розолей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дозированных,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порошков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дозирующим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дозирующих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небулайзеров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высвобождаемого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дозатора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(отмеренная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доза)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распылителя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(целевая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доставляемая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доза).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доставляемую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альтернативную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респирабельную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фракцию),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альтернативная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Евразийского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государства-члены).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государстве-члене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отразить,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указываемое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отмеренной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(вне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клапана),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доставляемой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(вне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пускового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механизма)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характеристике.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дозирования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применения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(раздел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общей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характеристики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лекарственного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препарата)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одинаковое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вещество,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одинаковая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отмеренная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целевая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доставляемая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доза,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терапевтическое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респирабельной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фракции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респирабельной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фракции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референтного</w:t>
      </w:r>
      <w:proofErr w:type="spellEnd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заменяемым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лекарственными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препаратами.</w:t>
      </w:r>
      <w:proofErr w:type="gramEnd"/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применимо):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встряхиванию;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температурах;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прокачке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прокачке;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препарата;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ингалятора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ингаляции;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специфического</w:t>
      </w:r>
      <w:proofErr w:type="gram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спейсера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(удерживающей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камеры);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ж)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очистке,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спейсера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(удерживающей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камеры).</w:t>
      </w:r>
      <w:proofErr w:type="gramEnd"/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жидкостей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небулайзерную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небулайзерные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vivo</w:t>
      </w:r>
      <w:proofErr w:type="spellEnd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капель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размеру,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доставляемое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Особые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предосторожности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хранении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(раздел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общей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характеристики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лекарственного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препарата)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аэрозолей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ингаляций</w:t>
      </w:r>
      <w:proofErr w:type="gramEnd"/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дозированных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указание: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«Емкость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жидкость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давлением.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подвергать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ºC.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прокалывать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емкость».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Назальные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препараты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Качественный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количественный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(раздел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общей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характеристики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лекарственного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препарата)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</w:t>
      </w:r>
      <w:proofErr w:type="gram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аэ</w:t>
      </w:r>
      <w:proofErr w:type="gramEnd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розолей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назальных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дозированных,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спреев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назальных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дозированных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назальных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порошков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высвобождаемого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высвободиться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клапана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(отмеренная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доза),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высвободиться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пускового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(целевая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доставляемая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доза).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назальных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назальных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назальных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доставляемую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дозу.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назальных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государстве-члене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отразить,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указываемое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отмеренной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(вне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клапана)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доставляемой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(вне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пускового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механизма).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назальных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капель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капле.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дозирования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применения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(раздел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общей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характеристики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лекарственного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препарата)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назальном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применимо):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встряхиванию;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температурах;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прокачке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прокачке;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очистке.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Особые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предосторожности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хранении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(раздел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6.4.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общей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характеристики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лекарственного</w:t>
      </w:r>
      <w:r w:rsidR="000F6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препарата)</w:t>
      </w:r>
    </w:p>
    <w:p w:rsidR="00DA5A7A" w:rsidRPr="00DA5A7A" w:rsidRDefault="00DA5A7A" w:rsidP="00DA5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</w:t>
      </w:r>
      <w:proofErr w:type="gramStart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аэ</w:t>
      </w:r>
      <w:proofErr w:type="gramEnd"/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розолей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назальных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дозированных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указание: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«Емкость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жидкость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давлением.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подвергать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воздействию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°C.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прокалывать</w:t>
      </w:r>
      <w:r w:rsidR="000F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емкость».</w:t>
      </w:r>
    </w:p>
    <w:p w:rsidR="00374DEA" w:rsidRDefault="00374DEA"/>
    <w:sectPr w:rsidR="00374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232CC"/>
    <w:multiLevelType w:val="multilevel"/>
    <w:tmpl w:val="FB7A3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53ABA"/>
    <w:multiLevelType w:val="multilevel"/>
    <w:tmpl w:val="5286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7A"/>
    <w:rsid w:val="000F68BD"/>
    <w:rsid w:val="00374DEA"/>
    <w:rsid w:val="00DA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5A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5A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DA5A7A"/>
  </w:style>
  <w:style w:type="character" w:styleId="a3">
    <w:name w:val="Hyperlink"/>
    <w:basedOn w:val="a0"/>
    <w:uiPriority w:val="99"/>
    <w:semiHidden/>
    <w:unhideWhenUsed/>
    <w:rsid w:val="00DA5A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A5A7A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DA5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5A7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A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5A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5A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DA5A7A"/>
  </w:style>
  <w:style w:type="character" w:styleId="a3">
    <w:name w:val="Hyperlink"/>
    <w:basedOn w:val="a0"/>
    <w:uiPriority w:val="99"/>
    <w:semiHidden/>
    <w:unhideWhenUsed/>
    <w:rsid w:val="00DA5A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A5A7A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DA5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5A7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A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11308</Words>
  <Characters>64456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Фоменко</dc:creator>
  <cp:lastModifiedBy>Елена Фоменко</cp:lastModifiedBy>
  <cp:revision>2</cp:revision>
  <dcterms:created xsi:type="dcterms:W3CDTF">2018-09-24T06:03:00Z</dcterms:created>
  <dcterms:modified xsi:type="dcterms:W3CDTF">2018-09-25T05:17:00Z</dcterms:modified>
</cp:coreProperties>
</file>