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7A" w:rsidRPr="00156FD2" w:rsidRDefault="00C15C7A" w:rsidP="00156FD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156FD2">
        <w:rPr>
          <w:rFonts w:ascii="Arial" w:hAnsi="Arial" w:cs="Arial"/>
          <w:b/>
          <w:sz w:val="20"/>
          <w:szCs w:val="20"/>
        </w:rPr>
        <w:t>Приказ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Министра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здравоохранения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Республики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Казахстан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№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Қ</w:t>
      </w:r>
      <w:proofErr w:type="gramStart"/>
      <w:r w:rsidRPr="00156FD2">
        <w:rPr>
          <w:rFonts w:ascii="Arial" w:hAnsi="Arial" w:cs="Arial"/>
          <w:b/>
          <w:sz w:val="20"/>
          <w:szCs w:val="20"/>
        </w:rPr>
        <w:t>Р</w:t>
      </w:r>
      <w:proofErr w:type="gramEnd"/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ДСМ-69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от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8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мая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2019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года</w:t>
      </w:r>
    </w:p>
    <w:p w:rsidR="00C15C7A" w:rsidRPr="00156FD2" w:rsidRDefault="00C15C7A" w:rsidP="00156FD2">
      <w:pPr>
        <w:pStyle w:val="a8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156FD2">
        <w:rPr>
          <w:rFonts w:ascii="Arial" w:hAnsi="Arial" w:cs="Arial"/>
          <w:i/>
          <w:sz w:val="20"/>
          <w:szCs w:val="20"/>
        </w:rPr>
        <w:t>Зарегистрирован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в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Министерстве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юстиции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Республики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Казахстан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13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мая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2019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года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№</w:t>
      </w:r>
      <w:r w:rsidR="00156FD2">
        <w:rPr>
          <w:rFonts w:ascii="Arial" w:hAnsi="Arial" w:cs="Arial"/>
          <w:i/>
          <w:sz w:val="20"/>
          <w:szCs w:val="20"/>
        </w:rPr>
        <w:t xml:space="preserve"> </w:t>
      </w:r>
      <w:r w:rsidRPr="00156FD2">
        <w:rPr>
          <w:rFonts w:ascii="Arial" w:hAnsi="Arial" w:cs="Arial"/>
          <w:i/>
          <w:sz w:val="20"/>
          <w:szCs w:val="20"/>
        </w:rPr>
        <w:t>18654</w:t>
      </w:r>
    </w:p>
    <w:p w:rsidR="00C15C7A" w:rsidRPr="00156FD2" w:rsidRDefault="00C15C7A" w:rsidP="00156FD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156FD2">
        <w:rPr>
          <w:rFonts w:ascii="Arial" w:hAnsi="Arial" w:cs="Arial"/>
          <w:b/>
          <w:sz w:val="20"/>
          <w:szCs w:val="20"/>
        </w:rPr>
        <w:t>Об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утверждении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Правил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этического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продвижения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лекарственных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средств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и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медицинских</w:t>
      </w:r>
      <w:r w:rsidR="00156FD2">
        <w:rPr>
          <w:rFonts w:ascii="Arial" w:hAnsi="Arial" w:cs="Arial"/>
          <w:b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изделий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соответствии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подпунктом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67-1)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пункта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1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статьи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7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Кодекса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от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18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сентября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2009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года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«О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здоровье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народа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системе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здравоохранения»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b/>
          <w:sz w:val="20"/>
          <w:szCs w:val="20"/>
        </w:rPr>
        <w:t>ПРИКАЗЫВАЮ</w:t>
      </w:r>
      <w:r w:rsidRPr="00156FD2">
        <w:rPr>
          <w:rFonts w:ascii="Arial" w:hAnsi="Arial" w:cs="Arial"/>
          <w:sz w:val="20"/>
          <w:szCs w:val="20"/>
        </w:rPr>
        <w:t>:</w:t>
      </w:r>
      <w:proofErr w:type="gramEnd"/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1.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Утвердить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прилагаемые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Правила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этического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продвижения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лекарственных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средств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медицинских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изделий.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2.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Комитету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фармации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здравоохранения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установленном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законодательством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порядке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обеспечить: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1)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государственную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регистрацию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юстиции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Казахстан;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156FD2">
        <w:rPr>
          <w:rFonts w:ascii="Arial" w:hAnsi="Arial" w:cs="Arial"/>
          <w:sz w:val="20"/>
          <w:szCs w:val="20"/>
        </w:rPr>
        <w:t>2)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течение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десяти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календарных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дней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дня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государственной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регистрации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юстиции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направление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копии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бумажном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электронном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виде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казахском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русском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языках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Республиканское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государственное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предприятие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праве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хозяйственного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ведения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«Республиканский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центр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правовой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информации»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для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официального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опубликования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включения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Эталонный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контрольный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банк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нормативных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правовых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актов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Казахстан;</w:t>
      </w:r>
      <w:proofErr w:type="gramEnd"/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3)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размещение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</w:t>
      </w:r>
      <w:r w:rsidR="00156F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FD2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здравоохранения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Казахстан;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4)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течение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десяти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рабочих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дней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после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государственной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регистрации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юстиции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представление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Департамент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юридической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службы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Министерства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здравоохранения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сведений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об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исполнении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мероприятий,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предусмотренных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подпунктами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1),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2)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3)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пункта.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5.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Контроль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исполнением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возложить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виц</w:t>
      </w:r>
      <w:proofErr w:type="gramStart"/>
      <w:r w:rsidRPr="00156FD2">
        <w:rPr>
          <w:rFonts w:ascii="Arial" w:hAnsi="Arial" w:cs="Arial"/>
          <w:sz w:val="20"/>
          <w:szCs w:val="20"/>
        </w:rPr>
        <w:t>е-</w:t>
      </w:r>
      <w:proofErr w:type="gramEnd"/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министра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здравоохранения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Республики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Казахстан</w:t>
      </w:r>
      <w:r w:rsidR="00156F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FD2">
        <w:rPr>
          <w:rFonts w:ascii="Arial" w:hAnsi="Arial" w:cs="Arial"/>
          <w:sz w:val="20"/>
          <w:szCs w:val="20"/>
        </w:rPr>
        <w:t>Надырова</w:t>
      </w:r>
      <w:proofErr w:type="spellEnd"/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К.Т.</w:t>
      </w:r>
    </w:p>
    <w:p w:rsidR="00C15C7A" w:rsidRPr="00156FD2" w:rsidRDefault="00C15C7A" w:rsidP="00156FD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56FD2">
        <w:rPr>
          <w:rFonts w:ascii="Arial" w:hAnsi="Arial" w:cs="Arial"/>
          <w:sz w:val="20"/>
          <w:szCs w:val="20"/>
        </w:rPr>
        <w:t>6.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Настоящий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приказ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вводится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в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действие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после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истечения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десяти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календарных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дней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после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дня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его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первого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официального</w:t>
      </w:r>
      <w:r w:rsidR="00156FD2">
        <w:rPr>
          <w:rFonts w:ascii="Arial" w:hAnsi="Arial" w:cs="Arial"/>
          <w:sz w:val="20"/>
          <w:szCs w:val="20"/>
        </w:rPr>
        <w:t xml:space="preserve"> </w:t>
      </w:r>
      <w:r w:rsidRPr="00156FD2">
        <w:rPr>
          <w:rFonts w:ascii="Arial" w:hAnsi="Arial" w:cs="Arial"/>
          <w:sz w:val="20"/>
          <w:szCs w:val="20"/>
        </w:rPr>
        <w:t>опубликования.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ДСМ-69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bookmarkStart w:id="0" w:name="_GoBack"/>
      <w:bookmarkEnd w:id="0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фармакологического,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доклинических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(неклинических)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фармаконадзора</w:t>
      </w:r>
      <w:proofErr w:type="spell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распространяемая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консультативно-диагностическую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(дистрибьюторский)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межотраслевую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фармакологического,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иммунологического,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(испытаний)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(изготовление),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(эксплуатация),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делающий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(лицами),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эффективность;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(являвшееся)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86-3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здравоохранения»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Кодекс).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неимущественные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допускается: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благотворительные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конгрессах,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симпозиумах,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конгрессах,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proofErr w:type="gram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незарегистрированных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изделиях;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(размещение)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конгрессах,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симпозиумах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постмаркетинговых</w:t>
      </w:r>
      <w:proofErr w:type="spell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распознаваемой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заблуждение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(цены),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испытаний.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рекламируемой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порочащие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товаром;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ухудшить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ссылок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кино-,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сведений;12)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рекламируемых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  <w:proofErr w:type="gramEnd"/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научно-обоснованным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вводящие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заблуждение,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повлекут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-ы)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invitro</w:t>
      </w:r>
      <w:proofErr w:type="spell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пациентов).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здоровья».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объектами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86-3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продвижение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здравоохранения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назначающим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86-3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86-3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непатентованным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proofErr w:type="gramEnd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непереносимости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непатентованного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образуемой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этическому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нечетное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дистрибьюторов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ознакомляет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правомочными,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proofErr w:type="gramEnd"/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решающим.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неэтическому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решений:</w:t>
      </w:r>
    </w:p>
    <w:p w:rsidR="00C15C7A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здравоохранением,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членства),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дистрибьютору,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  <w:proofErr w:type="gramEnd"/>
    </w:p>
    <w:p w:rsidR="00AA2D2F" w:rsidRPr="00C15C7A" w:rsidRDefault="00C15C7A" w:rsidP="00C15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неэтического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15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sectPr w:rsidR="00AA2D2F" w:rsidRPr="00C1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5CF"/>
    <w:multiLevelType w:val="multilevel"/>
    <w:tmpl w:val="AA1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0307"/>
    <w:multiLevelType w:val="multilevel"/>
    <w:tmpl w:val="C11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A"/>
    <w:rsid w:val="00156FD2"/>
    <w:rsid w:val="00AA2D2F"/>
    <w:rsid w:val="00C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15C7A"/>
  </w:style>
  <w:style w:type="character" w:styleId="a3">
    <w:name w:val="Hyperlink"/>
    <w:basedOn w:val="a0"/>
    <w:uiPriority w:val="99"/>
    <w:semiHidden/>
    <w:unhideWhenUsed/>
    <w:rsid w:val="00C15C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C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C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6F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15C7A"/>
  </w:style>
  <w:style w:type="character" w:styleId="a3">
    <w:name w:val="Hyperlink"/>
    <w:basedOn w:val="a0"/>
    <w:uiPriority w:val="99"/>
    <w:semiHidden/>
    <w:unhideWhenUsed/>
    <w:rsid w:val="00C15C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C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C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6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4134</Words>
  <Characters>23566</Characters>
  <Application>Microsoft Office Word</Application>
  <DocSecurity>0</DocSecurity>
  <Lines>196</Lines>
  <Paragraphs>55</Paragraphs>
  <ScaleCrop>false</ScaleCrop>
  <Company>DG Win&amp;Soft</Company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2019-05-20T08:43:00Z</dcterms:created>
  <dcterms:modified xsi:type="dcterms:W3CDTF">2019-05-20T09:18:00Z</dcterms:modified>
</cp:coreProperties>
</file>