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33694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22 июня 2026 года № 536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постановление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</w:t>
      </w:r>
      <w:r>
        <w:rPr>
          <w:rStyle w:val="s0"/>
          <w:b/>
          <w:bCs/>
        </w:rPr>
        <w:t>ЛЯЕТ</w:t>
      </w:r>
      <w:r>
        <w:rPr>
          <w:rStyle w:val="s0"/>
        </w:rPr>
        <w:t>:</w:t>
      </w:r>
    </w:p>
    <w:p w:rsidR="00000000" w:rsidRDefault="00D33694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 следующ</w:t>
      </w:r>
      <w:r>
        <w:rPr>
          <w:rStyle w:val="s0"/>
        </w:rPr>
        <w:t>ие изменения и дополнения:</w:t>
      </w:r>
    </w:p>
    <w:p w:rsidR="00000000" w:rsidRDefault="00D33694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о Министерстве здравоохранения Республики Казахстан, утвержденном указанным постановлением:</w:t>
      </w:r>
    </w:p>
    <w:p w:rsidR="00000000" w:rsidRDefault="00D33694">
      <w:pPr>
        <w:pStyle w:val="pj"/>
      </w:pPr>
      <w:r>
        <w:rPr>
          <w:rStyle w:val="s0"/>
        </w:rPr>
        <w:t xml:space="preserve">в </w:t>
      </w:r>
      <w:hyperlink r:id="rId8" w:anchor="sub_id=1500" w:history="1">
        <w:r>
          <w:rPr>
            <w:rStyle w:val="a4"/>
          </w:rPr>
          <w:t>пункте 15</w:t>
        </w:r>
      </w:hyperlink>
      <w:r>
        <w:rPr>
          <w:rStyle w:val="s0"/>
        </w:rPr>
        <w:t>:</w:t>
      </w:r>
    </w:p>
    <w:p w:rsidR="00000000" w:rsidRDefault="00D33694">
      <w:pPr>
        <w:pStyle w:val="pj"/>
      </w:pPr>
      <w:r>
        <w:rPr>
          <w:rStyle w:val="s19"/>
        </w:rPr>
        <w:t>подпункт 99) изложить в следующей редакции:</w:t>
      </w:r>
    </w:p>
    <w:p w:rsidR="00000000" w:rsidRDefault="00D33694">
      <w:pPr>
        <w:pStyle w:val="pj"/>
      </w:pPr>
      <w:r>
        <w:rPr>
          <w:rStyle w:val="s19"/>
        </w:rPr>
        <w:t>«99) оказание в пределах своей компетенции государственных услуг, в том числе цифровых;»;</w:t>
      </w:r>
    </w:p>
    <w:p w:rsidR="00000000" w:rsidRDefault="00D33694">
      <w:pPr>
        <w:pStyle w:val="pj"/>
      </w:pPr>
      <w:r>
        <w:rPr>
          <w:rStyle w:val="s19"/>
        </w:rPr>
        <w:t>подпункты 107), 108) и 109) изложить в следующей редакции:</w:t>
      </w:r>
    </w:p>
    <w:p w:rsidR="00000000" w:rsidRDefault="00D33694">
      <w:pPr>
        <w:pStyle w:val="pj"/>
      </w:pPr>
      <w:r>
        <w:rPr>
          <w:rStyle w:val="s19"/>
        </w:rPr>
        <w:t>«107) разработка перечня госуд</w:t>
      </w:r>
      <w:r>
        <w:rPr>
          <w:rStyle w:val="s19"/>
        </w:rPr>
        <w:t>арственных органов, ответственных за предоставление данных по категориям лиц, указанным в пункте 1 статьи 26 Закона Республики Казахстан «Об обязательном социальном медицинском страховании», и по иностранцам, временно пребывающим на территории Республики К</w:t>
      </w:r>
      <w:r>
        <w:rPr>
          <w:rStyle w:val="s19"/>
        </w:rPr>
        <w:t>азахстан и являющимся трудовыми мигрантами, а также членам их семей из государств - членов Евразийского экономического союза в Государственную корпорацию для дальнейшей передачи в цифровую систему обязательного социального медицинского страхования;</w:t>
      </w:r>
    </w:p>
    <w:p w:rsidR="00000000" w:rsidRDefault="00D33694">
      <w:pPr>
        <w:pStyle w:val="pj"/>
      </w:pPr>
      <w:r>
        <w:rPr>
          <w:rStyle w:val="s19"/>
        </w:rPr>
        <w:t>108) со</w:t>
      </w:r>
      <w:r>
        <w:rPr>
          <w:rStyle w:val="s19"/>
        </w:rPr>
        <w:t>здание и обеспечение функционирования цифровых ресурсов, цифровых систем и сетей телекоммуникаций в области здравоохранения, организация доступа к ним физических и юридических лиц в соответствии с цифровым законодательством Республики Казахстан;</w:t>
      </w:r>
    </w:p>
    <w:p w:rsidR="00000000" w:rsidRDefault="00D33694">
      <w:pPr>
        <w:pStyle w:val="pj"/>
      </w:pPr>
      <w:r>
        <w:rPr>
          <w:rStyle w:val="s19"/>
        </w:rPr>
        <w:t>109) обесп</w:t>
      </w:r>
      <w:r>
        <w:rPr>
          <w:rStyle w:val="s19"/>
        </w:rPr>
        <w:t>ечение согласования технических параметров ведомственных медицинских цифровых систем, а также содержания цифровых систем государственных органов, имеющих ведомственные медицинские службы;»;</w:t>
      </w:r>
    </w:p>
    <w:p w:rsidR="00000000" w:rsidRDefault="00D33694">
      <w:pPr>
        <w:pStyle w:val="pj"/>
      </w:pPr>
      <w:r>
        <w:rPr>
          <w:rStyle w:val="s19"/>
        </w:rPr>
        <w:t>подпункт 221) изложить в следующей редакции:</w:t>
      </w:r>
    </w:p>
    <w:p w:rsidR="00000000" w:rsidRDefault="00D33694">
      <w:pPr>
        <w:pStyle w:val="pj"/>
      </w:pPr>
      <w:r>
        <w:rPr>
          <w:rStyle w:val="s19"/>
        </w:rPr>
        <w:t>«221) разработка и ут</w:t>
      </w:r>
      <w:r>
        <w:rPr>
          <w:rStyle w:val="s19"/>
        </w:rPr>
        <w:t>верждение правил подключения цифровых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согласованию с уполномоченным органом в сфере обеспечения кибербезопа</w:t>
      </w:r>
      <w:r>
        <w:rPr>
          <w:rStyle w:val="s19"/>
        </w:rPr>
        <w:t>сности;»;</w:t>
      </w:r>
    </w:p>
    <w:p w:rsidR="00000000" w:rsidRDefault="00D33694">
      <w:pPr>
        <w:pStyle w:val="pj"/>
      </w:pPr>
      <w:r>
        <w:rPr>
          <w:rStyle w:val="s19"/>
        </w:rPr>
        <w:t>подпункты 267) и 268) изложить в следующей редакции:</w:t>
      </w:r>
    </w:p>
    <w:p w:rsidR="00000000" w:rsidRDefault="00D33694">
      <w:pPr>
        <w:pStyle w:val="pj"/>
      </w:pPr>
      <w:r>
        <w:rPr>
          <w:rStyle w:val="s19"/>
        </w:rPr>
        <w:t>«267) разработка и утверждение минимальных требований к медицинским цифровым системам в области здравоохранения;</w:t>
      </w:r>
    </w:p>
    <w:p w:rsidR="00000000" w:rsidRDefault="00D33694">
      <w:pPr>
        <w:pStyle w:val="pj"/>
      </w:pPr>
      <w:r>
        <w:rPr>
          <w:rStyle w:val="s19"/>
        </w:rPr>
        <w:t>268) разработка и утверждение требований к цифровым ресурсам здравоохранения для</w:t>
      </w:r>
      <w:r>
        <w:rPr>
          <w:rStyle w:val="s19"/>
        </w:rPr>
        <w:t xml:space="preserve"> оказания дистанционных медицинских услуг;»;</w:t>
      </w:r>
    </w:p>
    <w:p w:rsidR="00000000" w:rsidRDefault="00D33694">
      <w:pPr>
        <w:pStyle w:val="pj"/>
      </w:pPr>
      <w:r>
        <w:rPr>
          <w:rStyle w:val="s19"/>
        </w:rPr>
        <w:t>подпункт 280) изложить в следующей редакции:</w:t>
      </w:r>
    </w:p>
    <w:p w:rsidR="00000000" w:rsidRDefault="00D33694">
      <w:pPr>
        <w:pStyle w:val="pj"/>
      </w:pPr>
      <w:r>
        <w:rPr>
          <w:rStyle w:val="s19"/>
        </w:rPr>
        <w:t>«280) ведение государственной цифровой системы в области биологической безопасности;»;</w:t>
      </w:r>
    </w:p>
    <w:p w:rsidR="00000000" w:rsidRDefault="00D33694">
      <w:pPr>
        <w:pStyle w:val="pj"/>
      </w:pPr>
      <w:r>
        <w:rPr>
          <w:rStyle w:val="s19"/>
        </w:rPr>
        <w:t>подпункт 300) изложить в следующей редакции:</w:t>
      </w:r>
    </w:p>
    <w:p w:rsidR="00000000" w:rsidRDefault="00D33694">
      <w:pPr>
        <w:pStyle w:val="pj"/>
      </w:pPr>
      <w:r>
        <w:rPr>
          <w:rStyle w:val="s19"/>
        </w:rPr>
        <w:t>«300) определение объема и кратнос</w:t>
      </w:r>
      <w:r>
        <w:rPr>
          <w:rStyle w:val="s19"/>
        </w:rPr>
        <w:t>ти данных для предоставления в Национальный электронный паспорт здоровья и цифровые ресурсы;»;</w:t>
      </w:r>
    </w:p>
    <w:p w:rsidR="00000000" w:rsidRDefault="00D33694">
      <w:pPr>
        <w:pStyle w:val="pj"/>
      </w:pPr>
      <w:r>
        <w:rPr>
          <w:rStyle w:val="s19"/>
        </w:rPr>
        <w:t>подпункт 323-20) изложить в следующей редакции:</w:t>
      </w:r>
    </w:p>
    <w:p w:rsidR="00000000" w:rsidRDefault="00D33694">
      <w:pPr>
        <w:pStyle w:val="pj"/>
      </w:pPr>
      <w:r>
        <w:rPr>
          <w:rStyle w:val="s19"/>
        </w:rPr>
        <w:t>«323-20) разработка, утверждение и реализация программы цифровой трансформации;»;</w:t>
      </w:r>
    </w:p>
    <w:p w:rsidR="00000000" w:rsidRDefault="00D33694">
      <w:pPr>
        <w:pStyle w:val="pj"/>
      </w:pPr>
      <w:r>
        <w:rPr>
          <w:rStyle w:val="s0"/>
        </w:rPr>
        <w:t>дополнить подпунктами 323-136),</w:t>
      </w:r>
      <w:r>
        <w:rPr>
          <w:rStyle w:val="s0"/>
        </w:rPr>
        <w:t xml:space="preserve"> 323-137), 323-138), 323-139), 323-140), 323-141), 323-142), 323-143), 323-144), 323-145), 323-146), 323-147), 323-148), 323-149), 323-150), 323-151), 323-152), 323-153), 323-154) и 323-155) следующего содержания:</w:t>
      </w:r>
    </w:p>
    <w:p w:rsidR="00000000" w:rsidRDefault="00D33694">
      <w:pPr>
        <w:pStyle w:val="pj"/>
      </w:pPr>
      <w:bookmarkStart w:id="1" w:name="SUB22"/>
      <w:bookmarkEnd w:id="1"/>
      <w:r>
        <w:rPr>
          <w:rStyle w:val="s19"/>
        </w:rPr>
        <w:t>«323-136) разработка и утверждение методик</w:t>
      </w:r>
      <w:r>
        <w:rPr>
          <w:rStyle w:val="s19"/>
        </w:rPr>
        <w:t>и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</w:t>
      </w:r>
    </w:p>
    <w:p w:rsidR="00000000" w:rsidRDefault="00D33694">
      <w:pPr>
        <w:pStyle w:val="pj"/>
      </w:pPr>
      <w:r>
        <w:rPr>
          <w:rStyle w:val="s19"/>
        </w:rPr>
        <w:t>323-137) проведение анализа потребностей организаций</w:t>
      </w:r>
      <w:r>
        <w:rPr>
          <w:rStyle w:val="s19"/>
        </w:rPr>
        <w:t>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</w:t>
      </w:r>
      <w:r>
        <w:rPr>
          <w:rStyle w:val="s19"/>
        </w:rPr>
        <w:t>осударственного материального резерва в части мобилизационного резерва;</w:t>
      </w:r>
    </w:p>
    <w:p w:rsidR="00000000" w:rsidRDefault="00D33694">
      <w:pPr>
        <w:pStyle w:val="pj"/>
      </w:pPr>
      <w:r>
        <w:rPr>
          <w:rStyle w:val="s19"/>
        </w:rPr>
        <w:t>323-138) 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</w:t>
      </w:r>
      <w:r>
        <w:rPr>
          <w:rStyle w:val="s19"/>
        </w:rPr>
        <w:t xml:space="preserve"> области государственного материального резерва;</w:t>
      </w:r>
    </w:p>
    <w:p w:rsidR="00000000" w:rsidRDefault="00D33694">
      <w:pPr>
        <w:pStyle w:val="pj"/>
      </w:pPr>
      <w:r>
        <w:rPr>
          <w:rStyle w:val="s19"/>
        </w:rPr>
        <w:t xml:space="preserve">323-139) внесение предложений в Правительство Республики Казахстан о разбронировании материальных ценностей государственного резерва для оказания гуманитарной помощи по согласованию с уполномоченным органом </w:t>
      </w:r>
      <w:r>
        <w:rPr>
          <w:rStyle w:val="s19"/>
        </w:rPr>
        <w:t>в области государственного материального резерва;</w:t>
      </w:r>
    </w:p>
    <w:p w:rsidR="00000000" w:rsidRDefault="00D33694">
      <w:pPr>
        <w:pStyle w:val="pj"/>
      </w:pPr>
      <w:r>
        <w:rPr>
          <w:rStyle w:val="s19"/>
        </w:rPr>
        <w:t>323-140) принятие решений о выпуске материальных ценностей из мобилизационного резерва в порядке заимствования по согласованию с уполномоченными органами в области государственного материального резерва и м</w:t>
      </w:r>
      <w:r>
        <w:rPr>
          <w:rStyle w:val="s19"/>
        </w:rPr>
        <w:t>обилизационной подготовки;</w:t>
      </w:r>
    </w:p>
    <w:p w:rsidR="00000000" w:rsidRDefault="00D33694">
      <w:pPr>
        <w:pStyle w:val="pj"/>
      </w:pPr>
      <w:r>
        <w:rPr>
          <w:rStyle w:val="s19"/>
        </w:rPr>
        <w:t>323-141) внесение предложений в уполномоч</w:t>
      </w:r>
      <w:r>
        <w:rPr>
          <w:rStyle w:val="s19"/>
        </w:rPr>
        <w:t>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номенклатуры;</w:t>
      </w:r>
    </w:p>
    <w:p w:rsidR="00000000" w:rsidRDefault="00D33694">
      <w:pPr>
        <w:pStyle w:val="pj"/>
      </w:pPr>
      <w:r>
        <w:rPr>
          <w:rStyle w:val="s19"/>
        </w:rPr>
        <w:t>323-142) размеще</w:t>
      </w:r>
      <w:r>
        <w:rPr>
          <w:rStyle w:val="s19"/>
        </w:rPr>
        <w:t>ние заказов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p w:rsidR="00000000" w:rsidRDefault="00D33694">
      <w:pPr>
        <w:pStyle w:val="pj"/>
      </w:pPr>
      <w:r>
        <w:rPr>
          <w:rStyle w:val="s19"/>
        </w:rPr>
        <w:t>323-143) принятие решений о выпуске материальных ценностей из мобилизационного резер</w:t>
      </w:r>
      <w:r>
        <w:rPr>
          <w:rStyle w:val="s19"/>
        </w:rPr>
        <w:t>ва в порядке освежения;</w:t>
      </w:r>
    </w:p>
    <w:p w:rsidR="00000000" w:rsidRDefault="00D33694">
      <w:pPr>
        <w:pStyle w:val="pj"/>
      </w:pPr>
      <w:r>
        <w:rPr>
          <w:rStyle w:val="s19"/>
        </w:rPr>
        <w:t>323-144) осуществление передачи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</w:t>
      </w:r>
      <w:r>
        <w:rPr>
          <w:rStyle w:val="s19"/>
        </w:rPr>
        <w:t>анов по решению уполномоченного органа по управлению государственным имуществом по согласованию с государственными органами - получателями и уполномоченным органом в области государственного материального резерва;</w:t>
      </w:r>
    </w:p>
    <w:p w:rsidR="00000000" w:rsidRDefault="00D33694">
      <w:pPr>
        <w:pStyle w:val="pj"/>
      </w:pPr>
      <w:r>
        <w:rPr>
          <w:rStyle w:val="s19"/>
        </w:rPr>
        <w:t>323-145) принятие решений о перемещении ма</w:t>
      </w:r>
      <w:r>
        <w:rPr>
          <w:rStyle w:val="s19"/>
        </w:rPr>
        <w:t>териальных ценностей мобилизационного резерва по согласованию с уполномоченным органом в области государственного материального резерва;</w:t>
      </w:r>
    </w:p>
    <w:p w:rsidR="00000000" w:rsidRDefault="00D33694">
      <w:pPr>
        <w:pStyle w:val="pj"/>
      </w:pPr>
      <w:r>
        <w:rPr>
          <w:rStyle w:val="s19"/>
        </w:rPr>
        <w:t>323-146) организация хранения и освежения материальных ценностей мобилизационного резерва;</w:t>
      </w:r>
    </w:p>
    <w:p w:rsidR="00000000" w:rsidRDefault="00D33694">
      <w:pPr>
        <w:pStyle w:val="pj"/>
      </w:pPr>
      <w:bookmarkStart w:id="2" w:name="SUB33"/>
      <w:bookmarkEnd w:id="2"/>
      <w:r>
        <w:rPr>
          <w:rStyle w:val="s0"/>
        </w:rPr>
        <w:t>323-147) разработка и утверждение плана гражданской обороны Министерства;</w:t>
      </w:r>
    </w:p>
    <w:p w:rsidR="00000000" w:rsidRDefault="00D33694">
      <w:pPr>
        <w:pStyle w:val="pj"/>
      </w:pPr>
      <w:r>
        <w:rPr>
          <w:rStyle w:val="s0"/>
        </w:rPr>
        <w:t>323-148) проведение мероприятий по предупреждению пожаров в подведомственных организациях;</w:t>
      </w:r>
    </w:p>
    <w:p w:rsidR="00000000" w:rsidRDefault="00D33694">
      <w:pPr>
        <w:pStyle w:val="pj"/>
      </w:pPr>
      <w:r>
        <w:rPr>
          <w:rStyle w:val="s0"/>
        </w:rPr>
        <w:t>323-149) разработка и утверждение плана действий по ликвидации чрезвычайных ситуаций глобал</w:t>
      </w:r>
      <w:r>
        <w:rPr>
          <w:rStyle w:val="s0"/>
        </w:rPr>
        <w:t>ьного и регионального масштабов по согласованию с уполномоченным органом в сфере гражданской защиты;</w:t>
      </w:r>
    </w:p>
    <w:p w:rsidR="00000000" w:rsidRDefault="00D33694">
      <w:pPr>
        <w:pStyle w:val="pj"/>
      </w:pPr>
      <w:r>
        <w:rPr>
          <w:rStyle w:val="s0"/>
        </w:rPr>
        <w:t>323-150) обеспечение создания запасных (городских) и вспомогательных пунктов управления;</w:t>
      </w:r>
    </w:p>
    <w:p w:rsidR="00000000" w:rsidRDefault="00D33694">
      <w:pPr>
        <w:pStyle w:val="pj"/>
      </w:pPr>
      <w:r>
        <w:rPr>
          <w:rStyle w:val="s0"/>
        </w:rPr>
        <w:t>323-151) внесение предложения в уполномоченный орган в области моб</w:t>
      </w:r>
      <w:r>
        <w:rPr>
          <w:rStyle w:val="s0"/>
        </w:rPr>
        <w:t>илизационной подготовки по объемам финансирования мероприятий по мобилизационной подготовке и мобилизации;</w:t>
      </w:r>
    </w:p>
    <w:p w:rsidR="00000000" w:rsidRDefault="00D33694">
      <w:pPr>
        <w:pStyle w:val="pj"/>
      </w:pPr>
      <w:r>
        <w:rPr>
          <w:rStyle w:val="s0"/>
        </w:rPr>
        <w:t>323-152) организация и проведение работы по бронированию военнообязанных;</w:t>
      </w:r>
    </w:p>
    <w:p w:rsidR="00000000" w:rsidRDefault="00D33694">
      <w:pPr>
        <w:pStyle w:val="pj"/>
      </w:pPr>
      <w:r>
        <w:rPr>
          <w:rStyle w:val="s0"/>
        </w:rPr>
        <w:t>323-153) обеспечение соблюдения законов и иных нормативных правовых актов Р</w:t>
      </w:r>
      <w:r>
        <w:rPr>
          <w:rStyle w:val="s0"/>
        </w:rPr>
        <w:t>еспублики Казахстан в области мобилизационной подготовки и мобилизации;</w:t>
      </w:r>
    </w:p>
    <w:p w:rsidR="00000000" w:rsidRDefault="00D33694">
      <w:pPr>
        <w:pStyle w:val="pj"/>
      </w:pPr>
      <w:r>
        <w:rPr>
          <w:rStyle w:val="s0"/>
        </w:rPr>
        <w:t>323-154) участие в проведении военно-экономических и командно-штабных учений;</w:t>
      </w:r>
    </w:p>
    <w:p w:rsidR="00000000" w:rsidRDefault="00D33694">
      <w:pPr>
        <w:pStyle w:val="pj"/>
      </w:pPr>
      <w:bookmarkStart w:id="3" w:name="SUB41"/>
      <w:bookmarkEnd w:id="3"/>
      <w:r>
        <w:rPr>
          <w:rStyle w:val="s0"/>
        </w:rPr>
        <w:t>323-155) утверждение правил определения степени тяжести производственной травмы;».</w:t>
      </w:r>
    </w:p>
    <w:p w:rsidR="00000000" w:rsidRDefault="00D33694">
      <w:pPr>
        <w:pStyle w:val="pj"/>
      </w:pPr>
      <w:bookmarkStart w:id="4" w:name="SUB200"/>
      <w:bookmarkEnd w:id="4"/>
      <w:r>
        <w:rPr>
          <w:rStyle w:val="s0"/>
        </w:rPr>
        <w:t>2. Настоящее постановле</w:t>
      </w:r>
      <w:r>
        <w:rPr>
          <w:rStyle w:val="s0"/>
        </w:rPr>
        <w:t>ние вводится в действие с 12 июля 2026 года, за исключением:</w:t>
      </w:r>
    </w:p>
    <w:p w:rsidR="00000000" w:rsidRDefault="00D33694">
      <w:pPr>
        <w:pStyle w:val="pj"/>
      </w:pPr>
      <w:hyperlink w:anchor="sub22" w:history="1">
        <w:r>
          <w:rPr>
            <w:rStyle w:val="a4"/>
          </w:rPr>
          <w:t>абзацев двадцать второго, двадцать третьего, двадцать четвертого, двадцать пятого, двадцать шестого, двадцать седьмого, двадцать восьмого, двадцать девятого, тридцатог</w:t>
        </w:r>
        <w:r>
          <w:rPr>
            <w:rStyle w:val="a4"/>
          </w:rPr>
          <w:t>о, тридцать первого и тридцать второго</w:t>
        </w:r>
      </w:hyperlink>
      <w:r>
        <w:rPr>
          <w:rStyle w:val="s0"/>
        </w:rPr>
        <w:t xml:space="preserve"> пункта 1 настоящего постановления, которые вводятся в действие с 1 января 2027 года;</w:t>
      </w:r>
    </w:p>
    <w:p w:rsidR="00000000" w:rsidRDefault="00D33694">
      <w:pPr>
        <w:pStyle w:val="pj"/>
      </w:pPr>
      <w:hyperlink w:anchor="sub33" w:history="1">
        <w:r>
          <w:rPr>
            <w:rStyle w:val="a4"/>
          </w:rPr>
          <w:t>абзацев тридцать третьего, тридцать четвертого, тридцать пятого, тридцать шестого, тридцать седьмого, тр</w:t>
        </w:r>
        <w:r>
          <w:rPr>
            <w:rStyle w:val="a4"/>
          </w:rPr>
          <w:t>идцать восьмого, тридцать девятого и сорокового</w:t>
        </w:r>
      </w:hyperlink>
      <w:r>
        <w:rPr>
          <w:rStyle w:val="s0"/>
        </w:rPr>
        <w:t xml:space="preserve"> пункта 1 настоящего постановления, которые вводятся в действие со дня его подписания;</w:t>
      </w:r>
    </w:p>
    <w:p w:rsidR="00000000" w:rsidRDefault="00D33694">
      <w:pPr>
        <w:pStyle w:val="pj"/>
      </w:pPr>
      <w:hyperlink w:anchor="sub41" w:history="1">
        <w:r>
          <w:rPr>
            <w:rStyle w:val="a4"/>
          </w:rPr>
          <w:t>абзаца сорок первого</w:t>
        </w:r>
      </w:hyperlink>
      <w:r>
        <w:rPr>
          <w:rStyle w:val="s0"/>
        </w:rPr>
        <w:t xml:space="preserve"> пункта 1 настоящего постановления, который вводится в действие с 8 июня 2</w:t>
      </w:r>
      <w:r>
        <w:rPr>
          <w:rStyle w:val="s0"/>
        </w:rPr>
        <w:t>026 года.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33694">
            <w:pPr>
              <w:pStyle w:val="p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D33694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33694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33694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p w:rsidR="00000000" w:rsidRDefault="00D33694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694" w:rsidRDefault="00D33694" w:rsidP="00D33694">
      <w:r>
        <w:separator/>
      </w:r>
    </w:p>
  </w:endnote>
  <w:endnote w:type="continuationSeparator" w:id="0">
    <w:p w:rsidR="00D33694" w:rsidRDefault="00D33694" w:rsidP="00D3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94" w:rsidRDefault="00D3369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94" w:rsidRDefault="00D3369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94" w:rsidRDefault="00D336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694" w:rsidRDefault="00D33694" w:rsidP="00D33694">
      <w:r>
        <w:separator/>
      </w:r>
    </w:p>
  </w:footnote>
  <w:footnote w:type="continuationSeparator" w:id="0">
    <w:p w:rsidR="00D33694" w:rsidRDefault="00D33694" w:rsidP="00D3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94" w:rsidRDefault="00D336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94" w:rsidRPr="00D33694" w:rsidRDefault="00D33694" w:rsidP="00D336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33694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33694" w:rsidRPr="00D33694" w:rsidRDefault="00D33694" w:rsidP="00D336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33694"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22 июня 2026 года № 536 «О внесении изменений и дополнений в постановление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</w:t>
    </w:r>
  </w:p>
  <w:p w:rsidR="00D33694" w:rsidRPr="00D33694" w:rsidRDefault="00D33694" w:rsidP="00D336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33694">
      <w:rPr>
        <w:rFonts w:ascii="Arial" w:hAnsi="Arial" w:cs="Arial"/>
        <w:color w:val="808080"/>
        <w:sz w:val="20"/>
      </w:rPr>
      <w:t>Статус документа: Действующий c 08.06.2026 г., 22.06.2026 г., 12.07.2026 г., 01.01.2027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94" w:rsidRDefault="00D336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94"/>
    <w:rsid w:val="00D3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33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369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336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369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7732497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773249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773249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2026-06-29T06:59:00Z</dcterms:created>
  <dcterms:modified xsi:type="dcterms:W3CDTF">2026-06-29T06:59:00Z</dcterms:modified>
</cp:coreProperties>
</file>