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3B" w:rsidRDefault="008A411E" w:rsidP="008A411E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8A411E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от 4 мая 2019 года № Қ</w:t>
      </w:r>
      <w:proofErr w:type="gramStart"/>
      <w:r w:rsidRPr="008A411E">
        <w:rPr>
          <w:rFonts w:ascii="Arial" w:hAnsi="Arial" w:cs="Arial"/>
          <w:b/>
          <w:sz w:val="20"/>
          <w:szCs w:val="20"/>
        </w:rPr>
        <w:t>Р</w:t>
      </w:r>
      <w:proofErr w:type="gramEnd"/>
      <w:r w:rsidRPr="008A411E">
        <w:rPr>
          <w:rFonts w:ascii="Arial" w:hAnsi="Arial" w:cs="Arial"/>
          <w:b/>
          <w:sz w:val="20"/>
          <w:szCs w:val="20"/>
        </w:rPr>
        <w:t xml:space="preserve"> ДСМ-64</w:t>
      </w:r>
    </w:p>
    <w:p w:rsidR="008A411E" w:rsidRPr="008A411E" w:rsidRDefault="008A411E" w:rsidP="008A411E">
      <w:pPr>
        <w:pStyle w:val="a5"/>
        <w:jc w:val="center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8A411E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8 мая 2019 года № 18630</w:t>
      </w:r>
    </w:p>
    <w:p w:rsidR="003F2DE0" w:rsidRPr="008A411E" w:rsidRDefault="003F2DE0" w:rsidP="008A411E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8A411E">
        <w:rPr>
          <w:rFonts w:ascii="Arial" w:hAnsi="Arial" w:cs="Arial"/>
          <w:b/>
          <w:sz w:val="20"/>
          <w:szCs w:val="20"/>
        </w:rPr>
        <w:t>Об утверждении Правил проведения медицинских исследований, а также требования к исследовательским центрам</w:t>
      </w:r>
    </w:p>
    <w:p w:rsidR="003F2DE0" w:rsidRPr="008A411E" w:rsidRDefault="003F2DE0" w:rsidP="008A411E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8A411E">
        <w:rPr>
          <w:rFonts w:ascii="Arial" w:hAnsi="Arial" w:cs="Arial"/>
          <w:sz w:val="20"/>
          <w:szCs w:val="20"/>
        </w:rPr>
        <w:t xml:space="preserve">В соответствии с пунктом 9 статьи 180 Кодекса Республики Казахстан от 18 сентября 2009 года "О здоровье народа и системе здравоохранения" </w:t>
      </w:r>
      <w:r w:rsidRPr="008A411E">
        <w:rPr>
          <w:rFonts w:ascii="Arial" w:hAnsi="Arial" w:cs="Arial"/>
          <w:b/>
          <w:sz w:val="20"/>
          <w:szCs w:val="20"/>
        </w:rPr>
        <w:t>ПРИКАЗЫВАЮ</w:t>
      </w:r>
      <w:r w:rsidRPr="008A411E">
        <w:rPr>
          <w:rFonts w:ascii="Arial" w:hAnsi="Arial" w:cs="Arial"/>
          <w:sz w:val="20"/>
          <w:szCs w:val="20"/>
        </w:rPr>
        <w:t>:</w:t>
      </w:r>
    </w:p>
    <w:p w:rsidR="003F2DE0" w:rsidRPr="008A411E" w:rsidRDefault="003F2DE0" w:rsidP="008A411E">
      <w:pPr>
        <w:pStyle w:val="a5"/>
        <w:jc w:val="both"/>
        <w:rPr>
          <w:rFonts w:ascii="Arial" w:hAnsi="Arial" w:cs="Arial"/>
          <w:sz w:val="20"/>
          <w:szCs w:val="20"/>
        </w:rPr>
      </w:pPr>
      <w:r w:rsidRPr="008A411E">
        <w:rPr>
          <w:rFonts w:ascii="Arial" w:hAnsi="Arial" w:cs="Arial"/>
          <w:sz w:val="20"/>
          <w:szCs w:val="20"/>
        </w:rPr>
        <w:t>1. Утвердить Правила проведения медицинских исследований, а также требования к исследовательским центрам согласно приложению к настоящему приказу.</w:t>
      </w:r>
    </w:p>
    <w:p w:rsidR="003F2DE0" w:rsidRPr="008A411E" w:rsidRDefault="003F2DE0" w:rsidP="008A411E">
      <w:pPr>
        <w:pStyle w:val="a5"/>
        <w:jc w:val="both"/>
        <w:rPr>
          <w:rFonts w:ascii="Arial" w:hAnsi="Arial" w:cs="Arial"/>
          <w:sz w:val="20"/>
          <w:szCs w:val="20"/>
        </w:rPr>
      </w:pPr>
      <w:r w:rsidRPr="008A411E">
        <w:rPr>
          <w:rFonts w:ascii="Arial" w:hAnsi="Arial" w:cs="Arial"/>
          <w:sz w:val="20"/>
          <w:szCs w:val="20"/>
        </w:rPr>
        <w:t>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3F2DE0" w:rsidRPr="008A411E" w:rsidRDefault="003F2DE0" w:rsidP="008A411E">
      <w:pPr>
        <w:pStyle w:val="a5"/>
        <w:jc w:val="both"/>
        <w:rPr>
          <w:rFonts w:ascii="Arial" w:hAnsi="Arial" w:cs="Arial"/>
          <w:sz w:val="20"/>
          <w:szCs w:val="20"/>
        </w:rPr>
      </w:pPr>
      <w:r w:rsidRPr="008A411E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3F2DE0" w:rsidRPr="008A411E" w:rsidRDefault="003F2DE0" w:rsidP="008A411E">
      <w:pPr>
        <w:pStyle w:val="a5"/>
        <w:jc w:val="both"/>
        <w:rPr>
          <w:rFonts w:ascii="Arial" w:hAnsi="Arial" w:cs="Arial"/>
          <w:sz w:val="20"/>
          <w:szCs w:val="20"/>
        </w:rPr>
      </w:pPr>
      <w:proofErr w:type="gramStart"/>
      <w:r w:rsidRPr="008A411E">
        <w:rPr>
          <w:rFonts w:ascii="Arial" w:hAnsi="Arial" w:cs="Arial"/>
          <w:sz w:val="20"/>
          <w:szCs w:val="20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3F2DE0" w:rsidRPr="008A411E" w:rsidRDefault="003F2DE0" w:rsidP="008A411E">
      <w:pPr>
        <w:pStyle w:val="a5"/>
        <w:jc w:val="both"/>
        <w:rPr>
          <w:rFonts w:ascii="Arial" w:hAnsi="Arial" w:cs="Arial"/>
          <w:sz w:val="20"/>
          <w:szCs w:val="20"/>
        </w:rPr>
      </w:pPr>
      <w:r w:rsidRPr="008A411E">
        <w:rPr>
          <w:rFonts w:ascii="Arial" w:hAnsi="Arial" w:cs="Arial"/>
          <w:sz w:val="20"/>
          <w:szCs w:val="20"/>
        </w:rPr>
        <w:t xml:space="preserve">3) размещение настоящего приказа на </w:t>
      </w:r>
      <w:proofErr w:type="spellStart"/>
      <w:r w:rsidRPr="008A411E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8A411E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3F2DE0" w:rsidRPr="008A411E" w:rsidRDefault="003F2DE0" w:rsidP="008A411E">
      <w:pPr>
        <w:pStyle w:val="a5"/>
        <w:jc w:val="both"/>
        <w:rPr>
          <w:rFonts w:ascii="Arial" w:hAnsi="Arial" w:cs="Arial"/>
          <w:sz w:val="20"/>
          <w:szCs w:val="20"/>
        </w:rPr>
      </w:pPr>
      <w:r w:rsidRPr="008A411E">
        <w:rPr>
          <w:rFonts w:ascii="Arial" w:hAnsi="Arial" w:cs="Arial"/>
          <w:sz w:val="20"/>
          <w:szCs w:val="20"/>
        </w:rPr>
        <w:t>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и 3) настоящего пункта.</w:t>
      </w:r>
    </w:p>
    <w:p w:rsidR="003F2DE0" w:rsidRPr="008A411E" w:rsidRDefault="003F2DE0" w:rsidP="008A411E">
      <w:pPr>
        <w:pStyle w:val="a5"/>
        <w:jc w:val="both"/>
        <w:rPr>
          <w:rFonts w:ascii="Arial" w:hAnsi="Arial" w:cs="Arial"/>
          <w:sz w:val="20"/>
          <w:szCs w:val="20"/>
        </w:rPr>
      </w:pPr>
      <w:r w:rsidRPr="008A411E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на </w:t>
      </w:r>
      <w:proofErr w:type="gramStart"/>
      <w:r w:rsidRPr="008A411E">
        <w:rPr>
          <w:rFonts w:ascii="Arial" w:hAnsi="Arial" w:cs="Arial"/>
          <w:sz w:val="20"/>
          <w:szCs w:val="20"/>
        </w:rPr>
        <w:t>вице-министра</w:t>
      </w:r>
      <w:proofErr w:type="gramEnd"/>
      <w:r w:rsidRPr="008A411E">
        <w:rPr>
          <w:rFonts w:ascii="Arial" w:hAnsi="Arial" w:cs="Arial"/>
          <w:sz w:val="20"/>
          <w:szCs w:val="20"/>
        </w:rPr>
        <w:t xml:space="preserve"> здравоохранения Республики Казахстан </w:t>
      </w:r>
      <w:proofErr w:type="spellStart"/>
      <w:r w:rsidRPr="008A411E">
        <w:rPr>
          <w:rFonts w:ascii="Arial" w:hAnsi="Arial" w:cs="Arial"/>
          <w:sz w:val="20"/>
          <w:szCs w:val="20"/>
        </w:rPr>
        <w:t>Абишева</w:t>
      </w:r>
      <w:proofErr w:type="spellEnd"/>
      <w:r w:rsidRPr="008A411E">
        <w:rPr>
          <w:rFonts w:ascii="Arial" w:hAnsi="Arial" w:cs="Arial"/>
          <w:sz w:val="20"/>
          <w:szCs w:val="20"/>
        </w:rPr>
        <w:t xml:space="preserve"> О.А.</w:t>
      </w:r>
    </w:p>
    <w:p w:rsidR="003F2DE0" w:rsidRPr="008A411E" w:rsidRDefault="003F2DE0" w:rsidP="008A411E">
      <w:pPr>
        <w:pStyle w:val="a5"/>
        <w:jc w:val="both"/>
        <w:rPr>
          <w:rFonts w:ascii="Arial" w:hAnsi="Arial" w:cs="Arial"/>
          <w:sz w:val="20"/>
          <w:szCs w:val="20"/>
        </w:rPr>
      </w:pPr>
      <w:r w:rsidRPr="008A411E">
        <w:rPr>
          <w:rFonts w:ascii="Arial" w:hAnsi="Arial" w:cs="Arial"/>
          <w:sz w:val="20"/>
          <w:szCs w:val="20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F2DE0" w:rsidRPr="003F2DE0" w:rsidTr="003F2DE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2DE0" w:rsidRPr="003F2DE0" w:rsidRDefault="003F2DE0" w:rsidP="003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2DE0" w:rsidRPr="003F2DE0" w:rsidRDefault="003F2DE0" w:rsidP="003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3"/>
            <w:bookmarkEnd w:id="1"/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4 мая 2019 года</w:t>
            </w: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ДСМ-64</w:t>
            </w:r>
          </w:p>
        </w:tc>
      </w:tr>
    </w:tbl>
    <w:p w:rsidR="003F2DE0" w:rsidRPr="003F2DE0" w:rsidRDefault="003F2DE0" w:rsidP="008A41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Правила </w:t>
      </w:r>
      <w:r w:rsidRPr="003F2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проведения медицинских исследований, а также требования</w:t>
      </w:r>
      <w:r w:rsidRPr="003F2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 исследовательским центрам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Правила проведения медицинских исследований, а также требования к </w:t>
      </w:r>
      <w:r w:rsidRP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исследовательским центрам (далее – Правила), разработаны в соответствии с </w:t>
      </w:r>
      <w:r w:rsidRPr="008A41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пунктом 9</w:t>
      </w:r>
      <w:r w:rsidRP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180 Кодекса Республики Казахстан от 18 сентября 2009 года "О здоровье народа и системе здравоохранения" (далее – Кодекс) и определяют порядок проведения медицинских исследований, а также устанавливают требования к исследовательским центрам.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настоящих Правилах используются следующие термины и определения: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информированное согласие – процедура добровольного подтверждения субъектом исследования или его законным представителем согласия на участие в конкретном исследовании после получения информации обо всех значимых для принятия им решения аспектах исследования;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биобанк – специализированное хранилище биологических материалов для научных и медицинских целей;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биологический материал – образцы материала, такие как моча, кровь, ткани, клетки, ДНК, РНК, белки и другое, собранные от человека;</w:t>
      </w:r>
      <w:proofErr w:type="gramEnd"/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биоэтическая экспертиза – предварительное рассмотрение материалов медицинского исследования и выдача обоснованного заключения Комиссии по биоэтики с позиций этической приемлемости, безопасности для участников и целесообразности данного исследования;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геномная информация – информация о фрагментах или полной нуклеотидной последовательности дезоксирибонуклеиновой, рибонуклеиновой кислоты человека и связанных с ним организмов;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спонсор – физическое или юридическое лицо, являющееся инициатором клинического исследования и несущее ответственность за его организацию и (или) финансирование.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уполномоченный орган в области здравоохранения (далее -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медицинских услуг;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субъект исследования – живой человек или животное, участвующее в медицинском исследовании;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интервенционное исследование – исследование, в котором субъектам исследования выполняется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проспективное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 одного или нескольких медицинских вмешательств в виде профилактического вмешательства, назначения лекарственных препаратов, выполнения хирургических вмешательств, поведенческой терапии и других с целью оценки влияния данных вмешательств на показатели состояния здоровья;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неинтервенционное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– исследование, с участием человека в качестве субъекта исследования, которое проводится после одобрения к применению метода и (или) средства в рамках гарантированного объема бесплатной медицинской помощи и (или) обязательного социального медицинского страхования и назначается в рамках медицинской практики в соответствии с инструкцией по медицинскому применению;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доклиническое (неклиническое) исследование – химическое, физическое, биологическое, микробиологическое, фармакологическое, токсикологическое и другое экспериментальное исследование или серия исследований по изучению испытуемого метода и (или) средства путем применения научных методов оценки в целях изучения специфического действия и (или) получения доказательств безопасности для здоровья человека;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клиническое исследование – исследование с участием человека в качестве субъекта, проводимое для выявления или подтверждения безопасности и эффективности средств, методов и технологий профилактики, диагностики и лечения заболеваний;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13) отчет о клиническом исследовании – документ, содержащий описание клинического исследования испытуемого метода и (или) средства с участием человека в качестве субъекта, объединяющее клиническое и статистическое описания, представление данных и их анализ; отдаленных эффектов, включая нежелательные реакции испытуемого метода и (или) средства;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инспекция клинического исследования – процедура официальной проверки клинического исследования испытуемых методов и (или) средств, документов, относящихся к клиническому исследованию и клинической базы (помещений, оборудования и оснащения) уполномоченным органом с привлечением специалистов уполномоченной организации, имеющих опыт проведения клинических исследований для оценки качества проведения клинического исследования и полученных данных;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медико-биологический эксперимент – исследование, основанное на воспроизведении (моделировании) структурно - функционального комплекса изучаемого состояния или болезни в упрощенной форме на лабораторных животных для выяснения причин, условий и механизмов возникновения состояния или развития заболевания, разработки методов лечения и профилактики;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медицинское исследование – исследование, целью которого является получение научными методами новых знаний о здоровье человека, заболеваниях, об их диагностике, лечении или профилактике;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мониторинг – процедура контроля выполнения доклинического (неклинического) исследования и обеспечения его проведения, сбора данных и представления результатов исследования согласно протоколу, плану, программе, стандартным операционным процедурам и Стандарту;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18) заявитель – физическое или юридическое лицо, изъявившее желание осуществить безвозмездную добровольную передачу биологического материала в целях хранения в биобанке;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19) аудит клинического исследования испытуемых методов и (или) средств – систематическая, независимая и документированная проверка документации и деятельности сторон, вовлеченных в проведение клинического исследования испытуемых методов и (или) средств, которая осуществляется независимыми от клинического исследования и исследовательского центра экспертами для подтверждения факта осуществления этой деятельности, а также для оценки соответствия процедур сбора, обработки и представления данных, требованиям протокола клинического исследования, стандартных</w:t>
      </w:r>
      <w:proofErr w:type="gram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операционных процедур, надлежащей клинической практике – Гуд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клиникал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 (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Clinical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Practice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нормативным требованиям;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20) стандартные операционные процедуры (далее – СОП) – подробные письменные инструкции, предназначенные для достижения единообразия при осуществлении определенной деятельности мониторинг;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21) надлежащая клиническая практика – Гуд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клиникал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 (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Clinical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Practice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стандарт планирования, организации, проведения, мониторинга, аудита, документирования клинических исследований, а также анализа и представления их результатов, служащий гарантией достоверности и точности полученных данных и представленных результатов, а также обеспечивающий защиту прав, здоровья и конфиденциальности субъектов исследования;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22) синопсис протокола – краткое изложение протокола клинического исследования;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проведения медицинских исследований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1. Порядок получения разрешения на проведение медицинских исследований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Медицинские исследования включают медико-биологические эксперименты, доклинические (неклинические) исследования, клинические исследования и исследования в области общественного здоровья.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Для получения разрешения на проведение медицинского исследования созданы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Локальные комиссии. 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Центральная комиссия создается при уполномоченном органе в соответствии с </w:t>
      </w:r>
      <w:hyperlink r:id="rId6" w:history="1">
        <w:r w:rsidRPr="008A411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Республики Казахстан от 5 апреля 2019 года № Қ</w:t>
        </w:r>
        <w:proofErr w:type="gramStart"/>
        <w:r w:rsidRPr="008A411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Pr="008A411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ДСМ - 20 "Об утверждении положения о Центральной комиссии по биоэтике"</w:t>
        </w:r>
      </w:hyperlink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в Реестре государственной регистрации нормативных правовых актов под № 18480). 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Локальные комиссии создаются при медицинских организациях для независимой оценки исследований, проводимых на их базе.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Медицинские исследования проводятся при наличии следующих документов: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положительного заключения Центральной (далее – Центральная комиссия) и локальной (далее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окальная комиссия) Комиссии по биоэтике, проводящую биоэтическую экспертизу;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одобрения на проведение медицинского исследования со стороны консультативно-совещательного органа, уполномоченного рассматривать вопросы научной и (или) научно-технической деятельности (ученый, научный, научно-клинический, экспертный совет) в исследовательском центре (далее – Совет).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Для получения заключения биоэтической экспертизы материалов медицинского исследования спонсор исследования (далее – спонсор) или руководитель исследования предоставляют материалы медицинского исследования в Центральную комиссию или Локальную комиссию.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проведении медицинских исследований в рамках программно-целевого проекта документы на проведение исследования представляются в Центральную комиссию, в рамках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грантовых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материалы предоставляются в Локальную комиссию.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Если Локальная комиссия отсутствует в исследовательском центре, то спонсор или руководитель исследования обращаются в Локальную комиссию иной организации. При выборе Локальной комиссии учитывается опыт рассмотрения комиссией материалов соответствующего вида исследований.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Центральная комиссия проводит биоэтическую экспертизу материалов интервенционного клинического исследования в случае: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проведения интервенционного клинического исследования испытуемого метода и (или) средства в двух и более исследовательских центрах (по единому протоколу исследования);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проведения интервенционного клинического исследования испытуемого метода и (или) средства, произведенного за пределами Республики Казахстан.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Центральная комиссия проводит биоэтическую экспертизу материалов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неинтервенционного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клинического исследования в случае проведения исследования в двух и более исследовательских центрах (по единому протоколу исследования).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Локальная комиссия проводит биоэтическую экспертизу материалов всех видов медицинских исследований за исключением клинических исследований, указанных в пунктах 6 и 7 настоящих Правил.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Для проведения медико-биологического эксперимента, доклинического (неклинического) исследования спонсор или руководитель исследования представляет в Локальную комиссию следующие документы: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заявку на биоэтическую экспертизу с сопроводительным письмом в произвольной форме;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протокол медико-биологического эксперимента, доклинического (неклинического) исследования с обоснованием использования лабораторных животных;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информацию об исследовательском центре проведения медико-биологического эксперимента, доклинического (неклинического) исследования;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сведения о лабораторных животных, условиях их содержания;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резюме исследователя по форме согласно приложению к настоящим Правилам, а также для доклинических (неклинических) исследований – сертификат о прохождении курсов по надлежащей лабораторной практике – Гуд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 (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Laboratory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Practice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Для проведения биоэтической экспертизы материалов интервенционного клинического исследования спонсор или руководитель исследования представляет в Центральную или Локальную комиссию следующие документы: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заявку на проведение клинического исследования с сопроводительным письмом в произвольной форме;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протокол клинического исследования (оригинал или копию), подписанный спонсором или руководителем исследования;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синопсис протокола клинического исследования для международных исследований на казахском и русском языках;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брошюру исследователя;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инструкцию (или проект) по медицинскому применению испытуемого метода и (или) средства;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6) информацию для субъекта исследования или его законного представителя о клиническом исследовании на казахском и русском языках;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форму информированного согласия субъектов исследования на казахском и русском языках;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резюме исследователя, подтверждающее его квалификацию и сертификат о прохождении курсов надлежащей клинической практики (GCP);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сведения о клинических базах;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доверенность, выданную спонсором или руководителем исследования с четко определенными делегированными полномочиями, если податель заявки клинического исследования не является спонсором (или руководителем исследования);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информацию, касающуюся мероприятий по набору субъектов исследования (материалы информационного и рекламного характера, которые будут использоваться для привлечения субъектов исследования к клиническому исследованию (при наличии) на казахском и русском языках);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копию (или проект) договора страхования гражданско-правовой ответственности спонсора или руководителя исследования за причинение вреда здоровью и жизни субъектам исследования;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документ, определяющий условия выплаты вознаграждения или компенсации субъектам исследования за участие в клиническом исследовании (если это предусмотрено протоколом клинического исследования). Информация, касающаяся условий оплаты или компенсации субъектам исследования за участие в клиническом исследовании, предоставляется в сопроводительном письме со ссылкой на соответствующий документ, которым это предусматривается.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Для получения заключения биоэтической экспертизы материалов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неинтервенционного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клинического исследования спонсор или руководитель исследования представляет в Локальную комиссию следующие документы: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заявку на проведение клинического исследования с сопроводительным письмом в произвольной форме;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резюме исследователя, подтверждающее его квалификацию и сертификат о прохождении курсов по надлежащей клинической практике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–Г</w:t>
      </w:r>
      <w:proofErr w:type="gram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клиникал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 (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Clinical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Practice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регистрационного удостоверения на метод и (или) средство;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копию инструкции по медицинскому применению (утвержденный вариант);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протокол клинического исследования, подписанный спонсором или руководителем исследования;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информацию для субъектов исследования или их законных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представителях</w:t>
      </w:r>
      <w:proofErr w:type="gram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клиническом исследовании на казахском и русском языках (если это требуется по протоколу);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7) форму информированного согласия субъекта исследования на казахском и русском языках (если это требуется по протоколу);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образец индивидуальной регистрационной карты на бумажном носителе (если это требуется по протоколу);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дополнительные документы (если это требуется по протоколу).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Для проведения исследования в области общественного здоровья спонсор или руководитель исследования представляет в Локальную комиссию следующие документы: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заявку на проведение исследования в области общественного здоровья с сопроводительным письмом в произвольной форме;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резюме исследователя по форме согласно приложению к настоящим Правилам;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протокол исследования, подписанный исследователем;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информацию для субъектов исследования или их законных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представителях</w:t>
      </w:r>
      <w:proofErr w:type="gram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исследовании на казахском и русском языках (если это требуется по протоколу);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форму информированного согласия субъекта исследования на казахском и русском языках (если это требуется по протоколу);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образец формы сбора данных на бумажном носителе (если это требуется по протоколу);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дополнительные документы (если это требуется по протоколу).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Срок биоэтической экспертизы материалов медицинского исследования и выдача заключения, не превышает четырнадцати рабочих дней со дня оплаты экспертных работ и представления полного перечня документов.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В случае предоставления неполного пакета документов Локальная комиссия возвращает документы спонсору (или руководителю исследования) в течение трех рабочих дней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приема документов.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Локальная комиссия проводит биоэтическую экспертизу материалов медицинского исследования по процедурам, утвержденным исследовательским центром. Центральная комиссия проводит биоэтическую экспертизу материалов медицинского исследования по процедурам, утвержденным Центральной комиссией.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При необходимости Центральная комиссия или Локальная комиссия запрашивает у спонсора или руководителя исследования дополнительные разъяснения по представленным документам. Время, необходимое для представления спонсором или руководителя исследования дополнительных данных, запрашиваемых Центральной комиссией или Локальной комиссией не входит в сроки проведения биоэтической экспертизы и не превышает шестьдесят календарных дней.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По результатам биоэтической экспертизы медицинского исследования Центральная или Локальная комиссия принимает одно из следующих решений: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об одобрении проведения медицинского исследования в произвольной форме;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 необходимости доработки материалов заявки на проведение медицинского исследования;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об отказе в проведении медицинского исследования.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Основанием для отказа в проведении исследования является: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отсутствие научной обоснованности в проведении исследования;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неприемлемость проведения исследования с биоэтической точки зрения;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нарушение основных принципов проведения исследований с участием человека и животных, отраженных в Стандартах надлежащей лабораторной практике – Гуд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 (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Laboratory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Practice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(для доклинических (неклинических) исследований, если применимо) и надлежащей клинической практики – Гуд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клиникал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 (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Clinical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Practice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(для клинических исследований, если применимо), утвержденных </w:t>
      </w:r>
      <w:hyperlink r:id="rId7" w:history="1">
        <w:r w:rsidRPr="008A411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и социального развития Республики Казахстан от 27 мая 2015 года № 392 "Об</w:t>
        </w:r>
        <w:proofErr w:type="gramEnd"/>
        <w:r w:rsidRPr="008A411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8A411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утверждении</w:t>
        </w:r>
        <w:proofErr w:type="gramEnd"/>
        <w:r w:rsidRPr="008A411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надлежащих фармацевтических практик"</w:t>
        </w:r>
      </w:hyperlink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в Реестре государственной регистрации нормативных правовых актов под № 11506) (далее – Приказ № 392).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Решение Центральной или Локальной комиссии по результатам биоэтической экспертизы оформляется в виде заключения. Заключение направляется спонсору или руководителю исследования.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возникновения разногласий у руководителя исследования с результатами экспертизы, Центральная или Локальная комиссия повторно рассматривает материалы медицинского исследования с участием самого спонсора (руководителя исследования) и привлечением независимых экспертов.</w:t>
      </w:r>
    </w:p>
    <w:p w:rsidR="003F2DE0" w:rsidRPr="008A411E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21. На основании положительного заключения Центральной или Локальной комиссии исследователи представляют заявку на проведение медицинского исследования в Совет исследовательского центра. Заявка на проведение медицинского исследования включает пакет документов, указанных в </w:t>
      </w:r>
      <w:r w:rsidRPr="008A41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пунктах 10</w:t>
      </w:r>
      <w:r w:rsidRP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41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P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и положительное заключение Центральной или Локальной комиссии.</w:t>
      </w:r>
    </w:p>
    <w:p w:rsidR="003F2DE0" w:rsidRPr="008A411E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Заявка на проведение медицинского исследования рассматривается на заседании Совета, который принимает одно из следующих решений:</w:t>
      </w:r>
    </w:p>
    <w:p w:rsidR="003F2DE0" w:rsidRPr="008A411E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об одобрении проведения медицинского исследования;</w:t>
      </w:r>
    </w:p>
    <w:p w:rsidR="003F2DE0" w:rsidRPr="008A411E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 целесообразности доработки материалов заявки на проведение медицинского исследования;</w:t>
      </w:r>
    </w:p>
    <w:p w:rsidR="003F2DE0" w:rsidRPr="008A411E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 нецелесообразности проведения медицинского исследования.</w:t>
      </w:r>
    </w:p>
    <w:p w:rsidR="003F2DE0" w:rsidRPr="008A411E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Срок рассмотрения заявки на проведение медицинского исследования с момента ее поступления в секретариат Совета исследовательского центра зависит от периодичности проведения заседаний Совета, но не превышает 30 календарных дней.</w:t>
      </w:r>
    </w:p>
    <w:p w:rsidR="003F2DE0" w:rsidRPr="008A411E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23. Решение об одобрении проведения медицинского исследования принимается при наличии в исследовательском центре условий, указанных в </w:t>
      </w:r>
      <w:r w:rsidRPr="008A41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пунктах 36</w:t>
      </w:r>
      <w:r w:rsidRP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A41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</w:t>
      </w:r>
      <w:r w:rsidRP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а также при соответствии материалов заявки требованиям законодательства Республики Казахстан в области здравоохранения и науки, международным и национальным биоэтическими нормам и </w:t>
      </w:r>
      <w:proofErr w:type="gramStart"/>
      <w:r w:rsidRP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надлежащими</w:t>
      </w:r>
      <w:proofErr w:type="gramEnd"/>
      <w:r w:rsidRP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практикам проведения медицинских исследований.</w:t>
      </w:r>
    </w:p>
    <w:p w:rsidR="003F2DE0" w:rsidRPr="008A411E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Решение о целесообразности доработки материалов заявки на проведение медицинского исследования принимается при наличии устранимых замечаний по оформлению и содержанию заявки.</w:t>
      </w:r>
    </w:p>
    <w:p w:rsidR="003F2DE0" w:rsidRPr="008A411E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Решение о нецелесообразности проведения медицинского исследования принимается при отсутствии в исследовательском центре условий, указанных в </w:t>
      </w:r>
      <w:r w:rsidRPr="008A41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пунктах 36</w:t>
      </w:r>
      <w:r w:rsidRP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A41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</w:t>
      </w:r>
      <w:r w:rsidRP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а также при не соответствии материалов заявки требованиям законодательства Республики Казахстан в области здравоохранения и науки, международным и национальным биоэтическими нормам и </w:t>
      </w:r>
      <w:proofErr w:type="gramStart"/>
      <w:r w:rsidRP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надлежащими</w:t>
      </w:r>
      <w:proofErr w:type="gramEnd"/>
      <w:r w:rsidRP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практикам проведения медицинских исследований.</w:t>
      </w:r>
    </w:p>
    <w:p w:rsidR="003F2DE0" w:rsidRPr="008A411E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24. Протокольное решение Совета, указанное в </w:t>
      </w:r>
      <w:r w:rsidRPr="008A41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подпункте 1)</w:t>
      </w:r>
      <w:r w:rsidRP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22 настоящих Правил, является основанием для проведения медицинского исследования.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Параграф 2. Порядок проведения медицинских исследований </w:t>
      </w:r>
      <w:r w:rsidRPr="003F2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(общие требования)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Медицинские исследования проводятся при наличии следующих документов: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положительного заключения Центральной или Локальной комиссии;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протокольного решения Совета, с указанием утвержденной темы, плана и дизайна исследования, состава исследовательской группы, процесса сопровождения и контроля исполнения исследования.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26. Медицинское исследование проводятся под руководством спонсора или руководителя исследования по утвержденному плану проведения исследования с составлением протокола исследования и подготовкой отчета, в котором содержатся результаты исследований.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плана возлагается на руководителя исследования.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Проведение медицинского исследования проводится на базе исследовательского центра, имеющего необходимую материально-техническую базу и квалифицированных специалистов в соответствующей области исследования.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Документы, оформляемые при проведении медицинского исследования в соответствии с настоящими Правилами, подлежат учету в электронном и (или) бумажном виде организацией, их оформившей, в журнале (журналах) учета.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29. Лица, ответственные за проведение медицинского исследования: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вносят изменения в план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исследованияс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разрешением Совета;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обеспечивают своевременный сбор полученных результатов, регистрацию отклонений от плана исследования с указанием причин и оценкой влияния внесенных </w:t>
      </w: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изменений на полученные результаты, а также при необходимости принять меры по устранению выявленных отклонений;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обеспечивают интерпретацию и анализ получаемых результатов, подготовку отчета о результатах медицинского исследования, конфиденциальность полученных результатов.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30. Качество проведения медицинского исследования обеспечивают: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материально-техническое оснащение медицинского исследования, обеспечиваемое руководителем исследовательского центра;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наличие управления (соблюдение протокола медицинского исследования на всех этапах медицинского исследования; соблюдение СОП (для клинических исследований));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планирование параметров медицинского исследования;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система оформления документации (рабочих журналов с первичными данными, заключительного отчета, архивов);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система гарантий качества для обеспечения надежности исследования и обоснованности полученных результатов.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Оборудование, на котором проводится медицинского исследования, имеет соответствующий сертификат качества, с указанием срока гарантийного обслуживания, а также к нему прикладывается график проверки работы оборудования.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31. Контроль качества осуществляется на всех этапах работы с целью обеспечения достоверности данных медицинского исследования и правильности их обработки.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32. Руководитель исследовательского центра, обеспечивает выполнение требований, установленных планом исследования, объективность и независимость проведения исследования и нести ответственность за достоверность получаемых результатов.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33. Аудит исследования проводится по протокольному решению Совета компетентными специалистами из числа сотрудников исследовательского центра, допускается привлечение экспертов из других профильных организаций для проведения аудита.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34. Документы, оформляемые при проведении медицинского исследования в соответствии с настоящими Правилами, или их копии подлежат хранению по установленным требованиям у руководителя.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35. Документы, оформляемые исследовательским центром при проведении медицинского исследования в соответствии с настоящими Правилами, или их копии подлежат хранению в сторонних организациях (в случае их привлечения) в течение трех лет. Необходимость дальнейшего хранения в сторонних организациях указанных документов или их копий определяется договором, заключенным разработчиком и сторонней организацией.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Требования к исследовательским центрам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36. Требованием к исследовательским центрам, на базе которых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клинические исследования является</w:t>
      </w:r>
      <w:proofErr w:type="gram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наличие лицензии на осуществление медицинской деятельности;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наличие СОП для проведения клинических исследований;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наличие персонала, имеющего медицинское образование и документ об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надлежащей клинической практике – Гуд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клиникал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 (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GoodClinicalPractice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наличие условий для проведения интенсивной терапии и реанимации (если это требуется протоколом).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37. К исследовательским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</w:t>
      </w:r>
      <w:proofErr w:type="gram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 биобанки, на базе которых проводятся клинические исследования предъявляются следующие требования: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наличие лицензии на осуществление медицинской деятельности;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наличие СОП для проведения клинических исследований и по работе с биобанками;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наличие персонала, имеющего медицинское образование и документ об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надлежащей клинической практике – Гуд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клиникал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 (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Clinical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Practice</w:t>
      </w:r>
      <w:proofErr w:type="spell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наличие условий для проведения интенсивной терапии и реанимации (если это требуется протоколом).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наличие положительного заключения Центральной комиссии.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38. Для получения заключения Центральной комиссии исследовательский центр направляет заявление о создании биобанка в Центральную комиссию и прилагает следующие документы: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заявление с указанием наименования биобанка;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юридические и финансовые реквизиты владельца биобанка;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информацию о местоположении и способах хранения и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кодирования</w:t>
      </w:r>
      <w:proofErr w:type="gram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биологических образцов, а также данных, связанных с этими образцами, и условия управления этими данными;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описание области (областей) деятельности биобанка, принципов и условий, которые применяются при сборе и хранении биологических образцов и данных; предоставления доступа к ним для целей исследований и другого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биологических образцов, информации и ограничений, касающихся использования биологических образцов;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утвержд</w:t>
      </w:r>
      <w:r w:rsid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формы информированного согласия;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информацию о процедурах уч</w:t>
      </w:r>
      <w:r w:rsid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уничтожения биологических образцов и персональных данных.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39. Центральная комиссия выда</w:t>
      </w:r>
      <w:r w:rsid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заключение о создании биобанка в течение 30 дней после получения запроса.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40. На основании положительного заключения Центральной комиссии руководитель исследовательского центра издает приказ о создании биобанка.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обеспечения деятельности биобанка на уровне исследовательского центра утверждаются: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положение о деятельности биобанка;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руководство системы менеджмента качества;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руководство по управлению рисками;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организационная структура, численность персонала, его квалификация и обязанности;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порядок регистрации описания регистров персональных данных, поддерживаемых биобанком на материальных носителях;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список инструкций, касающихся деятельности биобанка.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41. Деятельность биобанка подлежит внутреннему и внешнему мониторингу. Исследовательский центр, в котором созда</w:t>
      </w:r>
      <w:r w:rsid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биобанк, обеспечивает процедуру внутреннего мониторинга. Внутренний мониторинг осуществляется ежегодно. Внешний мониторинг проводится Центральной комиссией один раз в 5 лет. Мониторингу подлежат процедуры сбора, хранения и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биологических образцов, сбора, регистрации, хранения, защиты и передачи персональных данных.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42. В случае если исследовательский центр принимает решение о закрытии биобанка или уничтожении биологических образцов, персональных данных, хранящихся в биобанке, исследовательский центр извещает Центральную комиссию, и обеспечивает уничтожение биологических образцов, персональных данных и передачу биологических образцов, персональных данных на материальных носителях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биобанк.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43. Локальная комиссия рассматривает и одобряет все исследования с биологическими образцами, идентифицируемыми или неидентифицируемыми, либо предоставляет освобождение от биоэтической экспертизы перед началом исследования.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44. Обеспечивается защита неприкосновенности частной жизни и соблюдения конфиденциальности доноров биологических материалов и их персональной информации, включая информации, полученной от доноров касательно других лиц.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45. Доноры биологических матери</w:t>
      </w:r>
      <w:r w:rsid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не получают финансовое вознаграждение за донорство, за исключением обоснованного возмещения расходов, непосредственно связанных с осуществлением донорства.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46. Исследователи и лица, управляющие биобанком, уважают религиозные и культурные взгляды и традиции людей или групп людей/сообществ в отношении тканей и органов человека.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47. Информированное согласие получают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сбора биологического материала в исследовательских целях для хранения использования в исследованиях с указанием</w:t>
      </w:r>
      <w:proofErr w:type="gram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целей.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48. Согласие является общим или специальным. Общее согласие – это согласие, не ограничивающее использование биологического материала рамками конкретного исследовательского проекта. Общее согласие подразумевает согласие на хранение и использование биологического материала или персональной информации, полученной в исследовании с биологическими материалами, без необходимости получения повторного согласия. Донор ограничивает общее согласие по использованию биологического материала и любой связанной информации. Специальное согласие - согласие для конкретного исследовательского проекта.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49. Доноры биологического материала получают полную информацию в доступной форме, необходимую для принятия добровольного решения о согласии (в случае необходимости),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50. Данная информация включает в себя: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цель исследования, риски и выгоды для доноров;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тип и количество биологических материалов; безопасность и риски, связанные с процедурами их получения;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предполагаемое использование биологических материалов, включая любое коммерческое использование;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меры, используемые для защиты конфиденциальности и минимизации рисков для участников;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хранение биологического материала, вероятность использования для любых будущих исследований, продолжительность хранения биологических материалов, порядок их хранения, место хранения (например, в Казахстане, за пределами Казахстана), и процесс утилизации, если это применимо;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любая предполагаемая связь биологических материалов с информацией об участнике; вероятность повторного контакта в будущих исследованиях, или для информирования о клинически значимых данных и случайных выводах;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возможность отзыва согласия, процедуры и последствия такого отзыва.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51. Повторное согласие требуется: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когда планируемое исследование не было предусмотрено в первичном согласии при сборе биологического материала (кроме случаев, когда согласие отменено Локальной комиссией);</w:t>
      </w:r>
    </w:p>
    <w:p w:rsidR="003F2DE0" w:rsidRPr="003F2DE0" w:rsidRDefault="003F2DE0" w:rsidP="008A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когда отбор биологического материала был произведен у несовершеннолетнего, который персонально не давал свое согласие на донорство; после достижения совершеннолетия его необходимо заново получить согласие для исследований с ранее полученными биологическими образцами или связанной с ними информацией. Лицо, достигшее совершеннолетия необходимо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известить о сво</w:t>
      </w:r>
      <w:r w:rsidR="008A411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праве отозвать</w:t>
      </w:r>
      <w:proofErr w:type="gram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/уничтожить свои биологические материалы из исследования или хранения с целью исследований. В некоторых случаях, Локальная комиссия может отменить эти требования в соответствии с критериями для отмены согласия;</w:t>
      </w:r>
    </w:p>
    <w:p w:rsidR="003F2DE0" w:rsidRPr="003F2DE0" w:rsidRDefault="003F2DE0" w:rsidP="004366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3) в исследованиях, относящихся к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чувствительным</w:t>
      </w:r>
      <w:proofErr w:type="gram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с человеческим репродуктивными клетками, эмбрионами, или комбинации с материалами животного происхождения.</w:t>
      </w:r>
    </w:p>
    <w:p w:rsidR="003F2DE0" w:rsidRPr="003F2DE0" w:rsidRDefault="003F2DE0" w:rsidP="004366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52. Исследователи, которые имеют права на вторичное использование идентифицируемых биологических материалов человека, могут использовать материалы в случае одобрения Локальной комиссией при наличии следующих условии:</w:t>
      </w:r>
    </w:p>
    <w:p w:rsidR="003F2DE0" w:rsidRPr="003F2DE0" w:rsidRDefault="003F2DE0" w:rsidP="004366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идентифицируемые биологические материалы человека необходимы для исследования;</w:t>
      </w:r>
    </w:p>
    <w:p w:rsidR="003F2DE0" w:rsidRPr="003F2DE0" w:rsidRDefault="003F2DE0" w:rsidP="004366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использование идентифицируемых биологических материалов человека без согласия участника не окажет негативного влияния на благополучие участников, у которых были собраны материалы;</w:t>
      </w:r>
    </w:p>
    <w:p w:rsidR="003F2DE0" w:rsidRPr="003F2DE0" w:rsidRDefault="003F2DE0" w:rsidP="004366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исследователи соблюдает меры по защите частной жизни отдельных лиц и по защите этих биологических материалов в соответствии с законодательством Республики Казахстан;</w:t>
      </w:r>
    </w:p>
    <w:p w:rsidR="003F2DE0" w:rsidRPr="003F2DE0" w:rsidRDefault="003F2DE0" w:rsidP="004366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исследователи соблюдают рекомендации, ранее представленные экспертами, специалистами о любом использовании этих биологических материалов;</w:t>
      </w:r>
    </w:p>
    <w:p w:rsidR="003F2DE0" w:rsidRPr="003F2DE0" w:rsidRDefault="003F2DE0" w:rsidP="004366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невозможно или неосуществимо получить согласие от лиц, у которых были собраны материалы;</w:t>
      </w:r>
    </w:p>
    <w:p w:rsidR="003F2DE0" w:rsidRPr="003F2DE0" w:rsidRDefault="003F2DE0" w:rsidP="004366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исследователи получили необходимое разрешение для вторичного использования биологических материалов человека в исследовательских целях.</w:t>
      </w:r>
    </w:p>
    <w:p w:rsidR="003F2DE0" w:rsidRPr="003F2DE0" w:rsidRDefault="003F2DE0" w:rsidP="004366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53. Исследователи запрашивают одобрение Локальной комиссии, но не запрашивают согласие участника для исследований, которые основаны исключительно на вторичном использовании неидентифицируемых биологических материалов человека.</w:t>
      </w:r>
    </w:p>
    <w:p w:rsidR="003F2DE0" w:rsidRPr="003F2DE0" w:rsidRDefault="003F2DE0" w:rsidP="004366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54. Если вторичное использование идентифицируемых биологических материалов человека без требования получения согласия одобрено в соответствии с подпунктом 5) пункта 52 настоящих Правил, исследователь обращается в Локальную комиссию для получения одобрения плана получения согласия на вторичное использование биологического материала человека.</w:t>
      </w:r>
    </w:p>
    <w:p w:rsidR="003F2DE0" w:rsidRPr="003F2DE0" w:rsidRDefault="003F2DE0" w:rsidP="004366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55. В случае обнаружения клинически значимой информации в процессе исследований с биологическими материалами, исследователи информируют донора, если данное желание было отражено в информированном согласии.</w:t>
      </w:r>
    </w:p>
    <w:p w:rsidR="003F2DE0" w:rsidRPr="003F2DE0" w:rsidRDefault="003F2DE0" w:rsidP="004366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56. Локальная комиссия рассматривает и одобряет все соглашения о предоставлении доступа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</w:t>
      </w:r>
      <w:proofErr w:type="gramEnd"/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биологическим образцам, чтобы обеспечить наилучшее этическое использование биологических образцов и данных от доноров в соответствии с их согласием.</w:t>
      </w:r>
    </w:p>
    <w:p w:rsidR="003F2DE0" w:rsidRPr="003F2DE0" w:rsidRDefault="003F2DE0" w:rsidP="004366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57. При публикации результатов исследований с использованием данных и биологических образцов, представленных биобанками, необходимо указывать интеллектуальный вклад, определенный на основе авторских прав и прав интеллектуальной собственности.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F2DE0" w:rsidRPr="003F2DE0" w:rsidTr="003F2DE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2DE0" w:rsidRPr="003F2DE0" w:rsidRDefault="003F2DE0" w:rsidP="003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3F2DE0" w:rsidRPr="003F2DE0" w:rsidRDefault="003F2DE0" w:rsidP="003F2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203"/>
            <w:bookmarkEnd w:id="2"/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исследований,</w:t>
            </w: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также требований к</w:t>
            </w: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исследовательским центрам</w:t>
            </w: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</w:t>
            </w:r>
          </w:p>
        </w:tc>
      </w:tr>
    </w:tbl>
    <w:p w:rsidR="003F2DE0" w:rsidRPr="003F2DE0" w:rsidRDefault="003F2DE0" w:rsidP="004366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D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Резюме исследователя</w:t>
      </w:r>
    </w:p>
    <w:tbl>
      <w:tblPr>
        <w:tblW w:w="95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3"/>
      </w:tblGrid>
      <w:tr w:rsidR="003F2DE0" w:rsidRPr="003F2DE0" w:rsidTr="0043660F">
        <w:trPr>
          <w:tblCellSpacing w:w="15" w:type="dxa"/>
        </w:trPr>
        <w:tc>
          <w:tcPr>
            <w:tcW w:w="9493" w:type="dxa"/>
            <w:vAlign w:val="center"/>
            <w:hideMark/>
          </w:tcPr>
          <w:p w:rsidR="003F2DE0" w:rsidRPr="003F2DE0" w:rsidRDefault="003F2DE0" w:rsidP="003F2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при его наличии (полностью)</w:t>
            </w:r>
          </w:p>
        </w:tc>
      </w:tr>
      <w:tr w:rsidR="003F2DE0" w:rsidRPr="003F2DE0" w:rsidTr="0043660F">
        <w:trPr>
          <w:tblCellSpacing w:w="15" w:type="dxa"/>
        </w:trPr>
        <w:tc>
          <w:tcPr>
            <w:tcW w:w="9493" w:type="dxa"/>
            <w:vAlign w:val="center"/>
            <w:hideMark/>
          </w:tcPr>
          <w:p w:rsidR="003F2DE0" w:rsidRPr="003F2DE0" w:rsidRDefault="003F2DE0" w:rsidP="003F2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3F2DE0" w:rsidRPr="003F2DE0" w:rsidTr="0043660F">
        <w:trPr>
          <w:tblCellSpacing w:w="15" w:type="dxa"/>
        </w:trPr>
        <w:tc>
          <w:tcPr>
            <w:tcW w:w="9493" w:type="dxa"/>
            <w:vAlign w:val="center"/>
            <w:hideMark/>
          </w:tcPr>
          <w:p w:rsidR="003F2DE0" w:rsidRPr="003F2DE0" w:rsidRDefault="003F2DE0" w:rsidP="003F2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(с указанием учебного заведения)</w:t>
            </w:r>
          </w:p>
        </w:tc>
      </w:tr>
      <w:tr w:rsidR="003F2DE0" w:rsidRPr="003F2DE0" w:rsidTr="0043660F">
        <w:trPr>
          <w:tblCellSpacing w:w="15" w:type="dxa"/>
        </w:trPr>
        <w:tc>
          <w:tcPr>
            <w:tcW w:w="9493" w:type="dxa"/>
            <w:vAlign w:val="center"/>
            <w:hideMark/>
          </w:tcPr>
          <w:p w:rsidR="003F2DE0" w:rsidRPr="003F2DE0" w:rsidRDefault="003F2DE0" w:rsidP="003F2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3F2DE0" w:rsidRPr="003F2DE0" w:rsidTr="0043660F">
        <w:trPr>
          <w:tblCellSpacing w:w="15" w:type="dxa"/>
        </w:trPr>
        <w:tc>
          <w:tcPr>
            <w:tcW w:w="9493" w:type="dxa"/>
            <w:vAlign w:val="center"/>
            <w:hideMark/>
          </w:tcPr>
          <w:p w:rsidR="003F2DE0" w:rsidRPr="003F2DE0" w:rsidRDefault="003F2DE0" w:rsidP="003F2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Последипломное образование</w:t>
            </w:r>
          </w:p>
        </w:tc>
      </w:tr>
      <w:tr w:rsidR="003F2DE0" w:rsidRPr="003F2DE0" w:rsidTr="0043660F">
        <w:trPr>
          <w:tblCellSpacing w:w="15" w:type="dxa"/>
        </w:trPr>
        <w:tc>
          <w:tcPr>
            <w:tcW w:w="9493" w:type="dxa"/>
            <w:vAlign w:val="center"/>
            <w:hideMark/>
          </w:tcPr>
          <w:p w:rsidR="003F2DE0" w:rsidRPr="003F2DE0" w:rsidRDefault="003F2DE0" w:rsidP="003F2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 и звание (если имеется)</w:t>
            </w:r>
          </w:p>
        </w:tc>
      </w:tr>
      <w:tr w:rsidR="003F2DE0" w:rsidRPr="003F2DE0" w:rsidTr="0043660F">
        <w:trPr>
          <w:tblCellSpacing w:w="15" w:type="dxa"/>
        </w:trPr>
        <w:tc>
          <w:tcPr>
            <w:tcW w:w="9493" w:type="dxa"/>
            <w:vAlign w:val="center"/>
            <w:hideMark/>
          </w:tcPr>
          <w:p w:rsidR="003F2DE0" w:rsidRPr="003F2DE0" w:rsidRDefault="003F2DE0" w:rsidP="003F2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и должность</w:t>
            </w:r>
          </w:p>
        </w:tc>
      </w:tr>
      <w:tr w:rsidR="003F2DE0" w:rsidRPr="003F2DE0" w:rsidTr="0043660F">
        <w:trPr>
          <w:tblCellSpacing w:w="15" w:type="dxa"/>
        </w:trPr>
        <w:tc>
          <w:tcPr>
            <w:tcW w:w="9493" w:type="dxa"/>
            <w:vAlign w:val="center"/>
            <w:hideMark/>
          </w:tcPr>
          <w:p w:rsidR="003F2DE0" w:rsidRPr="003F2DE0" w:rsidRDefault="003F2DE0" w:rsidP="003F2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</w:tr>
      <w:tr w:rsidR="003F2DE0" w:rsidRPr="003F2DE0" w:rsidTr="0043660F">
        <w:trPr>
          <w:tblCellSpacing w:w="15" w:type="dxa"/>
        </w:trPr>
        <w:tc>
          <w:tcPr>
            <w:tcW w:w="9493" w:type="dxa"/>
            <w:vAlign w:val="center"/>
            <w:hideMark/>
          </w:tcPr>
          <w:p w:rsidR="003F2DE0" w:rsidRPr="003F2DE0" w:rsidRDefault="003F2DE0" w:rsidP="003F2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труды, публикации (указать количество и названия статей, монографий имеющих отношение к проблеме исследования, год публикации и издательство)</w:t>
            </w:r>
          </w:p>
        </w:tc>
      </w:tr>
      <w:tr w:rsidR="003F2DE0" w:rsidRPr="003F2DE0" w:rsidTr="0043660F">
        <w:trPr>
          <w:tblCellSpacing w:w="15" w:type="dxa"/>
        </w:trPr>
        <w:tc>
          <w:tcPr>
            <w:tcW w:w="9493" w:type="dxa"/>
            <w:vAlign w:val="center"/>
            <w:hideMark/>
          </w:tcPr>
          <w:p w:rsidR="003F2DE0" w:rsidRPr="003F2DE0" w:rsidRDefault="003F2DE0" w:rsidP="003F2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по проведению исследований (область исследования)</w:t>
            </w:r>
          </w:p>
        </w:tc>
      </w:tr>
      <w:tr w:rsidR="003F2DE0" w:rsidRPr="003F2DE0" w:rsidTr="0043660F">
        <w:trPr>
          <w:tblCellSpacing w:w="15" w:type="dxa"/>
        </w:trPr>
        <w:tc>
          <w:tcPr>
            <w:tcW w:w="9493" w:type="dxa"/>
            <w:vAlign w:val="center"/>
            <w:hideMark/>
          </w:tcPr>
          <w:p w:rsidR="003F2DE0" w:rsidRPr="003F2DE0" w:rsidRDefault="003F2DE0" w:rsidP="003F2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сертификатов об обучении на курсах по Надлежащей клинической практике / Надлежащей лабораторной практике, иных сертификатов об этике и (или) методологии научных исследований</w:t>
            </w:r>
          </w:p>
        </w:tc>
      </w:tr>
      <w:tr w:rsidR="003F2DE0" w:rsidRPr="003F2DE0" w:rsidTr="0043660F">
        <w:trPr>
          <w:tblCellSpacing w:w="15" w:type="dxa"/>
        </w:trPr>
        <w:tc>
          <w:tcPr>
            <w:tcW w:w="9493" w:type="dxa"/>
            <w:vAlign w:val="center"/>
            <w:hideMark/>
          </w:tcPr>
          <w:p w:rsidR="003F2DE0" w:rsidRPr="003F2DE0" w:rsidRDefault="003F2DE0" w:rsidP="003F2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организации, контактный телефон, факс, e-</w:t>
            </w:r>
            <w:proofErr w:type="spellStart"/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3F2DE0" w:rsidRPr="003F2DE0" w:rsidTr="0043660F">
        <w:trPr>
          <w:tblCellSpacing w:w="15" w:type="dxa"/>
        </w:trPr>
        <w:tc>
          <w:tcPr>
            <w:tcW w:w="9493" w:type="dxa"/>
            <w:vAlign w:val="center"/>
            <w:hideMark/>
          </w:tcPr>
          <w:p w:rsidR="003F2DE0" w:rsidRPr="003F2DE0" w:rsidRDefault="003F2DE0" w:rsidP="003F2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главного исследователя (исследователя)</w:t>
            </w:r>
          </w:p>
        </w:tc>
      </w:tr>
      <w:tr w:rsidR="003F2DE0" w:rsidRPr="003F2DE0" w:rsidTr="0043660F">
        <w:trPr>
          <w:tblCellSpacing w:w="15" w:type="dxa"/>
        </w:trPr>
        <w:tc>
          <w:tcPr>
            <w:tcW w:w="9493" w:type="dxa"/>
            <w:vAlign w:val="center"/>
            <w:hideMark/>
          </w:tcPr>
          <w:p w:rsidR="003F2DE0" w:rsidRPr="003F2DE0" w:rsidRDefault="003F2DE0" w:rsidP="003F2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руководителя, заверенная официально (отдел кадров)</w:t>
            </w:r>
          </w:p>
        </w:tc>
      </w:tr>
      <w:tr w:rsidR="003F2DE0" w:rsidRPr="003F2DE0" w:rsidTr="0043660F">
        <w:trPr>
          <w:tblCellSpacing w:w="15" w:type="dxa"/>
        </w:trPr>
        <w:tc>
          <w:tcPr>
            <w:tcW w:w="9493" w:type="dxa"/>
            <w:vAlign w:val="center"/>
            <w:hideMark/>
          </w:tcPr>
          <w:p w:rsidR="003F2DE0" w:rsidRPr="003F2DE0" w:rsidRDefault="003F2DE0" w:rsidP="003F2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</w:tbl>
    <w:p w:rsidR="00AA2D2F" w:rsidRDefault="00AA2D2F"/>
    <w:sectPr w:rsidR="00AA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E2E04"/>
    <w:multiLevelType w:val="multilevel"/>
    <w:tmpl w:val="FDCA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E0"/>
    <w:rsid w:val="003F2DE0"/>
    <w:rsid w:val="0043660F"/>
    <w:rsid w:val="008A411E"/>
    <w:rsid w:val="009D273B"/>
    <w:rsid w:val="00AA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2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2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2D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F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2DE0"/>
    <w:rPr>
      <w:color w:val="0000FF"/>
      <w:u w:val="single"/>
    </w:rPr>
  </w:style>
  <w:style w:type="paragraph" w:styleId="a5">
    <w:name w:val="No Spacing"/>
    <w:uiPriority w:val="1"/>
    <w:qFormat/>
    <w:rsid w:val="008A41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2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2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D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2D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F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2DE0"/>
    <w:rPr>
      <w:color w:val="0000FF"/>
      <w:u w:val="single"/>
    </w:rPr>
  </w:style>
  <w:style w:type="paragraph" w:styleId="a5">
    <w:name w:val="No Spacing"/>
    <w:uiPriority w:val="1"/>
    <w:qFormat/>
    <w:rsid w:val="008A4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harmnews.kz/ru/legislation/prikaz-392-ot-27-maya-2015-goda_8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armnews.kz/ru/legislation/prikaz-mz--r-dsm-20-ot-5-aprelya-2019-goda_2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5565</Words>
  <Characters>31724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3</cp:revision>
  <dcterms:created xsi:type="dcterms:W3CDTF">2019-05-20T10:25:00Z</dcterms:created>
  <dcterms:modified xsi:type="dcterms:W3CDTF">2019-06-03T10:38:00Z</dcterms:modified>
</cp:coreProperties>
</file>