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F9" w:rsidRDefault="009A2D06" w:rsidP="001532F9">
      <w:pPr>
        <w:pStyle w:val="a4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532F9">
        <w:rPr>
          <w:rFonts w:ascii="Arial" w:hAnsi="Arial" w:cs="Arial"/>
          <w:b/>
          <w:sz w:val="20"/>
          <w:szCs w:val="20"/>
        </w:rPr>
        <w:t>Приказ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Министра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здравоохранения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Республики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Казахстан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№ ҚР ДСМ-198/2020</w:t>
      </w:r>
      <w:r w:rsid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от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18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ноября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2020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года</w:t>
      </w:r>
    </w:p>
    <w:p w:rsidR="009A2D06" w:rsidRPr="001532F9" w:rsidRDefault="009A2D06" w:rsidP="001532F9">
      <w:pPr>
        <w:pStyle w:val="a4"/>
        <w:jc w:val="center"/>
        <w:rPr>
          <w:rFonts w:ascii="Arial" w:hAnsi="Arial" w:cs="Arial"/>
          <w:b/>
          <w:sz w:val="20"/>
          <w:szCs w:val="20"/>
        </w:rPr>
      </w:pPr>
      <w:r w:rsidRPr="001532F9">
        <w:rPr>
          <w:rFonts w:ascii="Arial" w:hAnsi="Arial" w:cs="Arial"/>
          <w:b/>
          <w:sz w:val="20"/>
          <w:szCs w:val="20"/>
        </w:rPr>
        <w:t>Об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утверждении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правил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проведения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экспертизы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временной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нетрудоспособности,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а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также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выдачи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листа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или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справки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о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временной</w:t>
      </w:r>
      <w:r w:rsidR="001532F9" w:rsidRPr="001532F9">
        <w:rPr>
          <w:rFonts w:ascii="Arial" w:hAnsi="Arial" w:cs="Arial"/>
          <w:b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нетрудоспособности</w:t>
      </w:r>
    </w:p>
    <w:p w:rsidR="009A2D06" w:rsidRPr="001532F9" w:rsidRDefault="009A2D06" w:rsidP="001532F9">
      <w:pPr>
        <w:pStyle w:val="a4"/>
        <w:jc w:val="center"/>
        <w:rPr>
          <w:rFonts w:ascii="Arial" w:hAnsi="Arial" w:cs="Arial"/>
          <w:b/>
          <w:sz w:val="20"/>
          <w:szCs w:val="20"/>
        </w:rPr>
      </w:pPr>
    </w:p>
    <w:p w:rsidR="009A2D06" w:rsidRPr="001532F9" w:rsidRDefault="009A2D06" w:rsidP="001532F9">
      <w:pPr>
        <w:pStyle w:val="a4"/>
        <w:jc w:val="both"/>
        <w:rPr>
          <w:rFonts w:ascii="Arial" w:hAnsi="Arial" w:cs="Arial"/>
          <w:sz w:val="20"/>
          <w:szCs w:val="20"/>
        </w:rPr>
      </w:pPr>
      <w:r w:rsidRPr="001532F9">
        <w:rPr>
          <w:rFonts w:ascii="Arial" w:hAnsi="Arial" w:cs="Arial"/>
          <w:sz w:val="20"/>
          <w:szCs w:val="20"/>
        </w:rPr>
        <w:t>В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соответствии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с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пунктом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2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статьи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89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Кодекса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Республики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Казахстан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от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7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июля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2020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года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«О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здоровье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народа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системе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здравоохранения»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пунктом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1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статьи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10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Закона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Республики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Казахстан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от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15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апреля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2013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года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«О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государственных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услугах»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b/>
          <w:sz w:val="20"/>
          <w:szCs w:val="20"/>
        </w:rPr>
        <w:t>ПРИКАЗЫВАЮ</w:t>
      </w:r>
      <w:r w:rsidRPr="001532F9">
        <w:rPr>
          <w:rFonts w:ascii="Arial" w:hAnsi="Arial" w:cs="Arial"/>
          <w:sz w:val="20"/>
          <w:szCs w:val="20"/>
        </w:rPr>
        <w:t>:</w:t>
      </w:r>
    </w:p>
    <w:p w:rsidR="009A2D06" w:rsidRPr="001532F9" w:rsidRDefault="009A2D06" w:rsidP="001532F9">
      <w:pPr>
        <w:pStyle w:val="a4"/>
        <w:jc w:val="both"/>
        <w:rPr>
          <w:rFonts w:ascii="Arial" w:hAnsi="Arial" w:cs="Arial"/>
          <w:sz w:val="20"/>
          <w:szCs w:val="20"/>
        </w:rPr>
      </w:pPr>
      <w:r w:rsidRPr="001532F9">
        <w:rPr>
          <w:rFonts w:ascii="Arial" w:hAnsi="Arial" w:cs="Arial"/>
          <w:sz w:val="20"/>
          <w:szCs w:val="20"/>
        </w:rPr>
        <w:t>1.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Утвердить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Правила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проведения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экспертизы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временной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нетрудоспособности,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также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выдачи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листа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или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справки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временной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нетрудоспособности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согласно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приложению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1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настоящему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приказу.</w:t>
      </w:r>
    </w:p>
    <w:p w:rsidR="009A2D06" w:rsidRPr="001532F9" w:rsidRDefault="009A2D06" w:rsidP="001532F9">
      <w:pPr>
        <w:pStyle w:val="a4"/>
        <w:jc w:val="both"/>
        <w:rPr>
          <w:rFonts w:ascii="Arial" w:hAnsi="Arial" w:cs="Arial"/>
          <w:sz w:val="20"/>
          <w:szCs w:val="20"/>
        </w:rPr>
      </w:pPr>
      <w:r w:rsidRPr="001532F9">
        <w:rPr>
          <w:rFonts w:ascii="Arial" w:hAnsi="Arial" w:cs="Arial"/>
          <w:sz w:val="20"/>
          <w:szCs w:val="20"/>
        </w:rPr>
        <w:t>2.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Признать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утратившими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силу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некоторые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приказы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Министерства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здравоохранения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Республики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Казахстан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согласно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приложению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2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настоящему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приказу.</w:t>
      </w:r>
    </w:p>
    <w:p w:rsidR="009A2D06" w:rsidRPr="001532F9" w:rsidRDefault="009A2D06" w:rsidP="001532F9">
      <w:pPr>
        <w:pStyle w:val="a4"/>
        <w:jc w:val="both"/>
        <w:rPr>
          <w:rFonts w:ascii="Arial" w:hAnsi="Arial" w:cs="Arial"/>
          <w:sz w:val="20"/>
          <w:szCs w:val="20"/>
        </w:rPr>
      </w:pPr>
      <w:r w:rsidRPr="001532F9">
        <w:rPr>
          <w:rFonts w:ascii="Arial" w:hAnsi="Arial" w:cs="Arial"/>
          <w:sz w:val="20"/>
          <w:szCs w:val="20"/>
        </w:rPr>
        <w:t>3.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Департаменту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организации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медицинской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помощи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Министерства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здравоохранения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Республики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Казахстан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в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установленном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законодательством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Республики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Казахстан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порядке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обеспечить:</w:t>
      </w:r>
    </w:p>
    <w:p w:rsidR="009A2D06" w:rsidRPr="001532F9" w:rsidRDefault="009A2D06" w:rsidP="001532F9">
      <w:pPr>
        <w:pStyle w:val="a4"/>
        <w:jc w:val="both"/>
        <w:rPr>
          <w:rFonts w:ascii="Arial" w:hAnsi="Arial" w:cs="Arial"/>
          <w:sz w:val="20"/>
          <w:szCs w:val="20"/>
        </w:rPr>
      </w:pPr>
      <w:r w:rsidRPr="001532F9">
        <w:rPr>
          <w:rFonts w:ascii="Arial" w:hAnsi="Arial" w:cs="Arial"/>
          <w:sz w:val="20"/>
          <w:szCs w:val="20"/>
        </w:rPr>
        <w:t>1)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государственную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регистрацию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настоящего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приказа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в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Министерстве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юстиции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Республики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Казахстан;</w:t>
      </w:r>
    </w:p>
    <w:p w:rsidR="009A2D06" w:rsidRPr="001532F9" w:rsidRDefault="009A2D06" w:rsidP="001532F9">
      <w:pPr>
        <w:pStyle w:val="a4"/>
        <w:jc w:val="both"/>
        <w:rPr>
          <w:rFonts w:ascii="Arial" w:hAnsi="Arial" w:cs="Arial"/>
          <w:sz w:val="20"/>
          <w:szCs w:val="20"/>
        </w:rPr>
      </w:pPr>
      <w:r w:rsidRPr="001532F9">
        <w:rPr>
          <w:rFonts w:ascii="Arial" w:hAnsi="Arial" w:cs="Arial"/>
          <w:sz w:val="20"/>
          <w:szCs w:val="20"/>
        </w:rPr>
        <w:t>2)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размещение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настоящего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приказа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на</w:t>
      </w:r>
      <w:r w:rsidR="001532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2F9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Министерства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здравоохранения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Республики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Казахстан;</w:t>
      </w:r>
    </w:p>
    <w:p w:rsidR="009A2D06" w:rsidRPr="001532F9" w:rsidRDefault="009A2D06" w:rsidP="001532F9">
      <w:pPr>
        <w:pStyle w:val="a4"/>
        <w:jc w:val="both"/>
        <w:rPr>
          <w:rFonts w:ascii="Arial" w:hAnsi="Arial" w:cs="Arial"/>
          <w:sz w:val="20"/>
          <w:szCs w:val="20"/>
        </w:rPr>
      </w:pPr>
      <w:r w:rsidRPr="001532F9">
        <w:rPr>
          <w:rFonts w:ascii="Arial" w:hAnsi="Arial" w:cs="Arial"/>
          <w:sz w:val="20"/>
          <w:szCs w:val="20"/>
        </w:rPr>
        <w:t>3)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в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течение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десяти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рабочих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дней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после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государственной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регистрации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настоящего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приказа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в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Министерстве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юстиции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Республики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Казахстан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предоставление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в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Юридический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департамент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Министерства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здравоохранения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Республики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Казахстан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сведений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об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исполнении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мероприятий,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предусмотренных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подпунктами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1)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2).</w:t>
      </w:r>
    </w:p>
    <w:p w:rsidR="009A2D06" w:rsidRPr="001532F9" w:rsidRDefault="009A2D06" w:rsidP="001532F9">
      <w:pPr>
        <w:pStyle w:val="a4"/>
        <w:jc w:val="both"/>
        <w:rPr>
          <w:rFonts w:ascii="Arial" w:hAnsi="Arial" w:cs="Arial"/>
          <w:sz w:val="20"/>
          <w:szCs w:val="20"/>
        </w:rPr>
      </w:pPr>
      <w:r w:rsidRPr="001532F9">
        <w:rPr>
          <w:rFonts w:ascii="Arial" w:hAnsi="Arial" w:cs="Arial"/>
          <w:sz w:val="20"/>
          <w:szCs w:val="20"/>
        </w:rPr>
        <w:t>4.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Контроль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за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исполнением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настоящего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приказа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возложить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на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курирующего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вице-министра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здравоохранения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Республики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Казахстан.</w:t>
      </w:r>
    </w:p>
    <w:p w:rsidR="009A2D06" w:rsidRPr="001532F9" w:rsidRDefault="009A2D06" w:rsidP="001532F9">
      <w:pPr>
        <w:pStyle w:val="a4"/>
        <w:jc w:val="both"/>
        <w:rPr>
          <w:rFonts w:ascii="Arial" w:hAnsi="Arial" w:cs="Arial"/>
          <w:sz w:val="20"/>
          <w:szCs w:val="20"/>
        </w:rPr>
      </w:pPr>
      <w:r w:rsidRPr="001532F9">
        <w:rPr>
          <w:rFonts w:ascii="Arial" w:hAnsi="Arial" w:cs="Arial"/>
          <w:sz w:val="20"/>
          <w:szCs w:val="20"/>
        </w:rPr>
        <w:t>5.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Настоящий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приказ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вводится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в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действие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истечении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десяти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календарных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дней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после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дня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его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первого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официального</w:t>
      </w:r>
      <w:r w:rsidR="001532F9">
        <w:rPr>
          <w:rFonts w:ascii="Arial" w:hAnsi="Arial" w:cs="Arial"/>
          <w:sz w:val="20"/>
          <w:szCs w:val="20"/>
        </w:rPr>
        <w:t xml:space="preserve"> </w:t>
      </w:r>
      <w:r w:rsidRPr="001532F9">
        <w:rPr>
          <w:rFonts w:ascii="Arial" w:hAnsi="Arial" w:cs="Arial"/>
          <w:sz w:val="20"/>
          <w:szCs w:val="20"/>
        </w:rPr>
        <w:t>опубликования.</w:t>
      </w:r>
    </w:p>
    <w:p w:rsidR="009A2D06" w:rsidRPr="001532F9" w:rsidRDefault="009A2D06" w:rsidP="001532F9">
      <w:pPr>
        <w:pStyle w:val="a4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977"/>
      </w:tblGrid>
      <w:tr w:rsidR="009A2D06" w:rsidRPr="001532F9" w:rsidTr="001532F9">
        <w:tc>
          <w:tcPr>
            <w:tcW w:w="340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06" w:rsidRPr="001532F9" w:rsidRDefault="009A2D06" w:rsidP="001532F9">
            <w:pPr>
              <w:pStyle w:val="a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32F9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1532F9" w:rsidRPr="001532F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532F9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1532F9" w:rsidRPr="001532F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532F9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1532F9" w:rsidRPr="001532F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532F9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</w:p>
        </w:tc>
        <w:tc>
          <w:tcPr>
            <w:tcW w:w="15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D06" w:rsidRPr="001532F9" w:rsidRDefault="001532F9" w:rsidP="001532F9">
            <w:pPr>
              <w:pStyle w:val="a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32F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A2D06" w:rsidRPr="001532F9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Pr="001532F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9A2D06" w:rsidRPr="001532F9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</w:p>
        </w:tc>
      </w:tr>
    </w:tbl>
    <w:p w:rsidR="009A2D06" w:rsidRPr="001532F9" w:rsidRDefault="009A2D06" w:rsidP="001532F9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ҚР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ДСМ-198/2020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D06" w:rsidRPr="009A2D06" w:rsidRDefault="009A2D06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проведения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экспертизы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нетрудоспособности</w:t>
      </w:r>
    </w:p>
    <w:p w:rsidR="009A2D06" w:rsidRPr="009A2D06" w:rsidRDefault="009A2D06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здравоохранения»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услугах»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нетрудоспособность.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межотраслевую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фармацевтической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фармацевтического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(помощи);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являющийся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(учебы)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загранучреждений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областей,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столицы,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акимов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округов;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загранучреждения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областей,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столицы,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оказывающие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услугополучателей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нематериальных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Pr="009A2D0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уведомлениях»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осуществляется: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9A2D0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медико-санитарной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ПМСП)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дому.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врачебно-консультативной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нетрудоспобности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(врач,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работник):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нетрудоспобности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нетрудоспобности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МСЭ).</w:t>
      </w:r>
    </w:p>
    <w:p w:rsidR="009A2D06" w:rsidRPr="009A2D06" w:rsidRDefault="009A2D06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D06" w:rsidRPr="009A2D06" w:rsidRDefault="009A2D06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нетрудоспособности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веб-портал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«Электронного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нетрудоспособности»,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шлюз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«Электронного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правительства».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(тридцати)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ЭЦП.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«Личный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при: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трудоспособности;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прерывании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родах;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усыновлении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(удочерении)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(детей);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долечивании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карантине;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ортопедическом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протезировании.</w:t>
      </w:r>
    </w:p>
    <w:p w:rsidR="009A2D06" w:rsidRPr="001532F9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подпункту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31)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при: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опьянения,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интоксикации;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алкоголизма,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заболеваниями;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консультативно-диагностических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инвазивных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обследовании;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прерывании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усыновлении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(удочерении)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(детей);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долечивании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карантине;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ортопедическом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протезировании;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шлюз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«Электронного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правительства».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услугодателю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(тридцати)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ЭЦП.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«Личный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1532F9"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2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оралманам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иностранцам,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оплачиваемые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(стационарного)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обосновывающей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выдается: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освидетельствование,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стражей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арестом;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(ухудшения),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амбулаторно-поликлинических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обратившимся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(стационарного)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организации: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крови;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медицины;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травматологические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катастроф;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врачебно-физкультурные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диспансеры;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трудоспособности.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осмотрено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D06" w:rsidRPr="009A2D06" w:rsidRDefault="009A2D06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острых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обострении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хронических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заболеваний,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травмах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отравлениях</w:t>
      </w:r>
    </w:p>
    <w:p w:rsidR="009A2D06" w:rsidRPr="009A2D06" w:rsidRDefault="001532F9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единолично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единовременно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заболеваемости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ОРВИ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свыше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единолично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9A2D06" w:rsidRPr="00174DB5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образованием,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участковым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врачом.</w:t>
      </w:r>
    </w:p>
    <w:p w:rsidR="009A2D06" w:rsidRPr="00174DB5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Фельдшеры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сельской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местности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повышенной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гриппом,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продолжительностью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9A2D06" w:rsidRPr="00174DB5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шестидесяти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родов,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ВКК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МСЭ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ухудшают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(специальности),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обратившимся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(смены,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учебы),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госпитализации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госпитализации,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оказывающей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амбулаторно-поликлиническую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(иногороднему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травматологический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оказывающую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амбулаторно-поликлиническую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травматологическом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обслужено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травматологическом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пятницу,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оказывающей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амбулаторно-поликлиническую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травматологический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туберкулезных,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кожно-венерических,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онкологических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инфицированных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иммунодефицита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человека/синдромом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иммунодефицита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ВИЧ/СПИД)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(отделений,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кабинетов).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последующим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(отделение),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таковых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профильному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стационары,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реабилитационные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трудоспособность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нетрудоспособными,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поликлиники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получавшим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прибытия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опьянения,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интоксикации,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нетрудоспособность,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вызванная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опьянения,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алкоголизма,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заболеваниями,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справкой.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наступлением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алкоголизма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(наркомании),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алкоголизма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(наркомании)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состояниями,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нарушающими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трудоспособность,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заболеваниями,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несвоевременном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психоневрологического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(врача-психиатра)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судебно-медицинскую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судебно-психиатрическую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нетрудоспособными,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экспертизу.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совмещающему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работодателей,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иногородним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открывшей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направляющей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(лечении)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оралманов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прикрепления.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казахский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МСЭ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болеющие,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нетрудоспособности: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заболевании);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месяца;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туберкулезом.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МСЭ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инвалидизирующему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инвалидизирующим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МСЭ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МСЭ,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(стационарного)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языках.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подчеркивается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«Первичный»,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«Продолжение».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усыновлением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«Режим»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лечебно-охранительного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(стационарный,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амбулаторный,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санаторный).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(злоупотребление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алкоголем,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МСЭ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«Освобождение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арабскими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цифрами,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включительно»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прописью.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инициалы,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«Приступить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(число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трудоспособным.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сохраняющейся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запись: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«Продолжает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болеть»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записи: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«Установлена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(дата)»,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«Умер»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смерти).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явилось,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трудоспособным,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«Приступить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запись: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«Явился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трудоспособным»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явки),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включительно»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«Освобождение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прочерчиваются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«Z».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Оборотная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оплате.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вносятся,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зачеркнув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оговаривается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внизу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продолжения.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корешках,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</w:p>
    <w:p w:rsidR="009A2D06" w:rsidRPr="00174DB5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подпункту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31)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32F9"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D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Испорченные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невостребованные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порядке: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перечеркивается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накрест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«испорчен»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«погашен».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Корешки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испорченные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невостребованные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уничтожаются.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(произвольной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испорченных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невостребованных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дубликат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утерянному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выплачено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лицевой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дубликата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отметка: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«Дубликат».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явившемуся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пропущенных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«продолжение»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«Отметки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режима».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здравоохранением.</w:t>
      </w:r>
    </w:p>
    <w:p w:rsidR="00D37A10" w:rsidRDefault="00D37A10" w:rsidP="00174DB5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D06" w:rsidRPr="009A2D06" w:rsidRDefault="009A2D06" w:rsidP="00D37A10">
      <w:pPr>
        <w:shd w:val="clear" w:color="auto" w:fill="FFFFFF"/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родам</w:t>
      </w:r>
    </w:p>
    <w:p w:rsidR="009A2D06" w:rsidRPr="009A2D06" w:rsidRDefault="009A2D06" w:rsidP="00D37A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родам: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(врачом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акушером-гинекологом),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(семьдесят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пятьдесят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родах.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подвергшихся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семьдесят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(девяносто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семьдесят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родах;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выехавшим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(продлевается)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(кабинете)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(обменной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карты)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родовспомогательной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подпункту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31)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выехавшим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(продлевается)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(детей)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переводятся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казахский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четырнадцать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(врачом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акушером-гинекологом),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родовспомогательной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дородового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послеродового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(семьдесят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семьдесят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подвергшихся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четырнадцать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дородового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послеродового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восемьдесят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(девяносто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девяносто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родов);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прожившего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суток,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семьдесят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мертвого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умершего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пятьдесят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подвергшихся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прожившего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суток,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девяносто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подвергшихся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мертвого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умершего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семьдесят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исчисляется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продолжительностью,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наступлении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оплачиваемом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послеродовом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новорожденным;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прерыванию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амбулаторно-поликлиническом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производилась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самопроизвольном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аборте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(выкидыше)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пересадки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эмбриона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проводившей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операцию,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подсадки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эмбриона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усыновившим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(удочерившим)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(детей),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суррогатном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материнстве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(удочерения)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пятидесяти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родившим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(детей),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(мужчинам),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усыновившим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удочерившим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(детей)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экземплярах: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усыновлением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(удочерением)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(детей)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страхования;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усыновившим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(удочерившим)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(детей)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D37A10" w:rsidRDefault="00D37A10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D06" w:rsidRPr="009A2D06" w:rsidRDefault="009A2D06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уходу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больным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ребенком</w:t>
      </w:r>
    </w:p>
    <w:p w:rsidR="009A2D06" w:rsidRPr="009A2D06" w:rsidRDefault="009A2D06" w:rsidP="00D37A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родственников,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находящегося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иногородним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реабилитационном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нуждающегося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ухаживающему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лечении: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стационаре;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тяжелобольных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уходе;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ребенка-инвалида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госпитализации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проводилось,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госпитализации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выдавался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оставшиеся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(отцу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(лечении)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65.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требующий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(отца)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(оплачиваемый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предыдущим),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(должен)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приступить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(отца),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(отца).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дому,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ремиссии.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D06" w:rsidRPr="009A2D06" w:rsidRDefault="009A2D06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карантине</w:t>
      </w:r>
    </w:p>
    <w:p w:rsidR="009A2D06" w:rsidRPr="009A2D06" w:rsidRDefault="001532F9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отстранении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контактировавших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больными,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бактерионосительства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(участковый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врача-эпидемиолога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перенесших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контактировавших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справки,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подпункту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31)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удостоверяющего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наблюдением.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врача-эпидемиолога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надзора.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водоснабжения,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гельминтоза,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дегельминтизации.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D06" w:rsidRPr="009A2D06" w:rsidRDefault="009A2D06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ортопедическом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протезировании</w:t>
      </w:r>
    </w:p>
    <w:p w:rsidR="009A2D06" w:rsidRPr="009A2D06" w:rsidRDefault="001532F9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ортопедическом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протезировании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госпитализации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протезно-ортопедического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протезирующимся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амбулаторно-поликлинических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выдаются.</w:t>
      </w:r>
    </w:p>
    <w:p w:rsidR="009A2D06" w:rsidRPr="009A2D06" w:rsidRDefault="009A2D06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D06" w:rsidRPr="009A2D06" w:rsidRDefault="009A2D06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больным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туберкулезом</w:t>
      </w:r>
    </w:p>
    <w:p w:rsidR="009A2D06" w:rsidRPr="009A2D06" w:rsidRDefault="001532F9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A2D06" w:rsidRPr="00D37A10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признанному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инвалидности.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(учебы)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заработной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бактериовыделения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достигшим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конверсии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мокроты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ЦВКК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рецидивом,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нетрудоспособным: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чувствительной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туберкулезом,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(сохранение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бактериовыделения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легочным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внелегочным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туберкулезом)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МСЭ.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D06" w:rsidRPr="009A2D06" w:rsidRDefault="009A2D06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обжалования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решений,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действий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(бездействия)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услугодателя</w:t>
      </w:r>
      <w:proofErr w:type="spellEnd"/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(или)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должностных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вопросам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оказания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государственных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</w:t>
      </w:r>
    </w:p>
    <w:p w:rsidR="009A2D06" w:rsidRPr="009A2D06" w:rsidRDefault="001532F9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(бездействия)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услугах»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</w:p>
    <w:p w:rsidR="009A2D06" w:rsidRPr="009A2D06" w:rsidRDefault="001532F9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399"/>
        <w:gridCol w:w="5360"/>
      </w:tblGrid>
      <w:tr w:rsidR="009A2D06" w:rsidRPr="009A2D06" w:rsidTr="009A2D06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center"/>
              <w:textAlignment w:val="baseline"/>
              <w:divId w:val="1549150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«Выдача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листа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временной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нетрудоспособности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обращениях);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веб-портал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правительства»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портал).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(тридцати)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(частично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/бумажная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нетрудоспособности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основаниям,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стандарта.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оплаты,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взимаемой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взимания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случаях,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субботу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перерыва,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субботу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часов),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(воскресенье)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дни.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принимаются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дни.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круглосуточно,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перерывов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удостоверяющий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личности;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портал: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запроса.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документах,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удостоверяющих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шлюз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правительства».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(сведений),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содержащихся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них;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настоящими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Правилами.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телефону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контактного-центра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услуг: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8-800-080-7777,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1414.</w:t>
            </w:r>
          </w:p>
        </w:tc>
      </w:tr>
    </w:tbl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A2D06" w:rsidRPr="00D37A10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1532F9"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</w:p>
    <w:p w:rsidR="009A2D06" w:rsidRPr="009A2D06" w:rsidRDefault="001532F9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9A2D06" w:rsidRPr="009A2D06" w:rsidRDefault="001532F9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A2D06"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</w:t>
      </w:r>
      <w:proofErr w:type="spellEnd"/>
    </w:p>
    <w:p w:rsidR="009A2D06" w:rsidRPr="009A2D06" w:rsidRDefault="009A2D06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Еңбекке</w:t>
      </w:r>
      <w:proofErr w:type="spellEnd"/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уақытша</w:t>
      </w:r>
      <w:proofErr w:type="spellEnd"/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жарамсыздық</w:t>
      </w:r>
      <w:proofErr w:type="spellEnd"/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парағы</w:t>
      </w:r>
      <w:proofErr w:type="spellEnd"/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серия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0000000</w:t>
      </w:r>
    </w:p>
    <w:p w:rsidR="009A2D06" w:rsidRPr="009A2D06" w:rsidRDefault="001532F9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4156"/>
        <w:gridCol w:w="3228"/>
      </w:tblGrid>
      <w:tr w:rsidR="009A2D06" w:rsidRPr="009A2D06" w:rsidTr="00D37A10">
        <w:tc>
          <w:tcPr>
            <w:tcW w:w="5000" w:type="pct"/>
            <w:gridSpan w:val="3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divId w:val="568612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уақытша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жарамсыздық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парағы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нетрудоспособностиАлғашқы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тиістісінің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астын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сызу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подчеркнуть)</w:t>
            </w:r>
          </w:p>
        </w:tc>
      </w:tr>
      <w:tr w:rsidR="009A2D06" w:rsidRPr="009A2D06" w:rsidTr="00D37A10">
        <w:tc>
          <w:tcPr>
            <w:tcW w:w="700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толтырадыда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емдеу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ұйымын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дақалдырады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Заполняется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иостается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650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уақытша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жарамсыз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адамның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әкесінің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(бар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нетрудоспособного)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адрес)\</w:t>
            </w:r>
            <w:proofErr w:type="gram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лица)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Берілді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год)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------------------------------------------------------------------------</w:t>
            </w:r>
          </w:p>
        </w:tc>
        <w:tc>
          <w:tcPr>
            <w:tcW w:w="1550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дәрігердің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врача)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Сырқатнаманың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алушының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расписка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получателя)___________</w:t>
            </w:r>
          </w:p>
        </w:tc>
      </w:tr>
      <w:tr w:rsidR="009A2D06" w:rsidRPr="009A2D06" w:rsidTr="00D37A10">
        <w:tc>
          <w:tcPr>
            <w:tcW w:w="700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Емдеу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ұйымында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толтырады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/Заполняется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650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Еңбекке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уақытша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жарамсыздық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парағы</w:t>
            </w:r>
            <w:proofErr w:type="spellEnd"/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Лист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временной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нетрудоспособности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Алғашқы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парақтың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листка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тиістісінің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астын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сызу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подчеркнуть)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емдеу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ұйымының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организации)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Берілді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ХАЖ-10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лет)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уақытша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жарамсыз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адамның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әкесінің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нетрудоспособного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заңды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тұлғаның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лауазымы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/место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ХАЖ-10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коды/Код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МКБ-10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ХАЖ-10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коды/Заключительный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МКБ-10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тілінде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языке)</w:t>
            </w:r>
          </w:p>
        </w:tc>
        <w:tc>
          <w:tcPr>
            <w:tcW w:w="1550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Емдеу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мекемесінің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мөрі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организацииЕр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Муж./</w:t>
            </w:r>
            <w:proofErr w:type="gram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Әйел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-Жен.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Тиістісінің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астын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сызу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подчеркнуть</w:t>
            </w:r>
          </w:p>
        </w:tc>
      </w:tr>
      <w:tr w:rsidR="009A2D06" w:rsidRPr="009A2D06" w:rsidTr="00D37A10">
        <w:tc>
          <w:tcPr>
            <w:tcW w:w="700" w:type="pct"/>
            <w:vMerge w:val="restar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gridSpan w:val="2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Еңбекке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уақытша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жарамсыздықтың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тұpi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көрсетілсін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жіті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созылмалы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аурулардың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асқынуы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жарақаттанған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уланған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жүктілікті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жасанды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үзген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науқас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балаға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күтім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жукті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босану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туған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асырап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санаторийлік-курорттық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ұйымдарда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емделу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карантин,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ортопедиялық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протездеу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нетрудоспособности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(острое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обострение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травмы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отравления,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прерывание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беременности,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ребенком,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беременность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усыновление/удочерение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новорожденного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(детей),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долечивание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санаторно-курортных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карантин,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ортопедическое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Балаға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күтім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АХЖ-10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науқастың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диагнозы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көрсетілсін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карантин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АХЖ-10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карантинді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туындатқан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аурудың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көрсетілсінПо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уходу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больным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диагноз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МКБ-10,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карантине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МКБ-10,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вызвавшего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карантин___________________________________________________________________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Санаторийлік-курорттық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емделу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кезінде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жолдама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мерзімінің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басталатын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бітетін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көрсетілсін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санаторно-курортном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дату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путевки</w:t>
            </w:r>
          </w:p>
        </w:tc>
      </w:tr>
      <w:tr w:rsidR="009A2D06" w:rsidRPr="009A2D06" w:rsidTr="00D37A10">
        <w:tc>
          <w:tcPr>
            <w:tcW w:w="0" w:type="auto"/>
            <w:vMerge/>
            <w:vAlign w:val="center"/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pct"/>
            <w:gridSpan w:val="2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Режим: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Режимді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бұзушылық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/Отметки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режимаДәрігердің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</w:tr>
      <w:tr w:rsidR="009A2D06" w:rsidRPr="009A2D06" w:rsidTr="00D37A10">
        <w:tc>
          <w:tcPr>
            <w:tcW w:w="0" w:type="auto"/>
            <w:vMerge/>
            <w:vAlign w:val="center"/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Стационарда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/Находился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стационаре20__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дейінс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Уақытша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жұмысқа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ауыстырылсын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Перевести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другую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дейн20___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дәрігердің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/Подпись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550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МӘС-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/Направлен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МСЭ20____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Дәрігердің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/Подпись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Куәландырылды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/Освидетельствован20___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қорытындысы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/Экспертное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бастығының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қолыПодпись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МСЭ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МӘС-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мөрі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</w:t>
            </w:r>
          </w:p>
        </w:tc>
      </w:tr>
    </w:tbl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Жұмыстан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босатылу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/Освобождение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3813"/>
        <w:gridCol w:w="2001"/>
        <w:gridCol w:w="1436"/>
      </w:tblGrid>
      <w:tr w:rsidR="009A2D06" w:rsidRPr="009A2D06" w:rsidTr="00D37A10">
        <w:trPr>
          <w:jc w:val="center"/>
        </w:trPr>
        <w:tc>
          <w:tcPr>
            <w:tcW w:w="1100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D37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күннен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/число,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месяц)</w:t>
            </w:r>
          </w:p>
        </w:tc>
        <w:tc>
          <w:tcPr>
            <w:tcW w:w="2000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D37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күнді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қоса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алғанда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күнге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жазумен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/число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прописью)</w:t>
            </w:r>
          </w:p>
        </w:tc>
        <w:tc>
          <w:tcPr>
            <w:tcW w:w="1050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D37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Дәрігердің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</w:t>
            </w:r>
          </w:p>
        </w:tc>
        <w:tc>
          <w:tcPr>
            <w:tcW w:w="750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D37A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Дәрігердің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қолы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</w:t>
            </w:r>
          </w:p>
        </w:tc>
      </w:tr>
    </w:tbl>
    <w:p w:rsidR="009A2D06" w:rsidRPr="009A2D06" w:rsidRDefault="001532F9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Жұмысқа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кірісу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/Приступить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работе_______________________________________________</w:t>
      </w:r>
    </w:p>
    <w:p w:rsidR="009A2D06" w:rsidRPr="009A2D06" w:rsidRDefault="001532F9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D06"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9A2D06"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D06"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A2D06"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A2D06"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жазумен</w:t>
      </w:r>
      <w:proofErr w:type="spellEnd"/>
      <w:r w:rsidR="009A2D06"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/число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D06"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D06"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D06"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прописью)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Жаңа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парақ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берілді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жалғасы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)/Выдан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(продолжение)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№__________________________________________________________________________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Дәрігердің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тегі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/Должность,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Емдеу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мекемесінің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мөрі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учрежденияСыртқы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</w:t>
      </w:r>
      <w:proofErr w:type="spellEnd"/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/наименование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/отдел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Қызметі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/Должность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уақытша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маусымды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тиістісінің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асты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сызылсын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істемеді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20__ж.__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20___ж.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временная,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подчеркнуть).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___20__г.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по___20____г.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Еңбекке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жарамсыз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уақытындағы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күндері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Жұмысқа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кірісті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20____ж.______дейін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/дата)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бастығыныңқолы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Табельшінің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қолы</w:t>
      </w:r>
      <w:proofErr w:type="spellEnd"/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табельщика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9A2D06" w:rsidRPr="009A2D06" w:rsidRDefault="001532F9" w:rsidP="00D37A10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</w:t>
      </w:r>
    </w:p>
    <w:p w:rsidR="009A2D06" w:rsidRPr="009A2D06" w:rsidRDefault="001532F9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399"/>
        <w:gridCol w:w="5360"/>
      </w:tblGrid>
      <w:tr w:rsidR="009A2D06" w:rsidRPr="009A2D06" w:rsidTr="009A2D06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center"/>
              <w:textAlignment w:val="baseline"/>
              <w:divId w:val="478768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«Выдача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справки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временной</w:t>
            </w:r>
            <w:r w:rsidR="00153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нетрудоспособности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обращениях);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веб-портал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правительства»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портал).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(тридцати)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(частично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/бумажная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нетрудоспособности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основаниям,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стандарта.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оплаты,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взимаемой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взимания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случаях,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субботу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(понедельник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перерыва,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субботу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часов),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(воскресенье)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дни.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принимаются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дни.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круглосуточно,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исключением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перерывов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удостоверяющий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личности;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портал: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запроса.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документах,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удостоверяющих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шлюз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«Электронного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правительства».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(сведений),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содержащихся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них;</w:t>
            </w:r>
          </w:p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(или)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настоящими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Правилами.</w:t>
            </w:r>
          </w:p>
        </w:tc>
      </w:tr>
      <w:tr w:rsidR="009A2D06" w:rsidRPr="009A2D06" w:rsidTr="009A2D06"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учетом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9A2D06" w:rsidRPr="009A2D06" w:rsidRDefault="009A2D06" w:rsidP="009A2D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телефону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Единого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контактного-центра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услуг: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8-800-080-7777,</w:t>
            </w:r>
            <w:r w:rsidR="00153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1414.</w:t>
            </w:r>
          </w:p>
        </w:tc>
      </w:tr>
    </w:tbl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7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</w:p>
    <w:p w:rsidR="009A2D06" w:rsidRPr="009A2D06" w:rsidRDefault="009A2D06" w:rsidP="009A2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некоторых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утративших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силу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приказов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Министерства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здравоохранения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Казахстан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9A2D0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приказ</w:t>
        </w:r>
      </w:hyperlink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10964,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информационно-правовой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Әділет</w:t>
      </w:r>
      <w:proofErr w:type="spellEnd"/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9A2D0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приказ</w:t>
        </w:r>
      </w:hyperlink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ҚР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ДСМ-15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17406,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виде);</w:t>
      </w:r>
    </w:p>
    <w:p w:rsidR="009A2D06" w:rsidRPr="009A2D06" w:rsidRDefault="009A2D06" w:rsidP="009A2D0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9A2D0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приказ</w:t>
        </w:r>
      </w:hyperlink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ҚР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ДСМ-30/2020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20332,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виде);</w:t>
      </w:r>
    </w:p>
    <w:p w:rsidR="002E5F3A" w:rsidRPr="007526CC" w:rsidRDefault="009A2D06" w:rsidP="007526CC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9A2D0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приказ</w:t>
        </w:r>
      </w:hyperlink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ҚР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ДСМ-34/2020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здравоохранения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183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нетрудоспособности»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(зарегистрирован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20356,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банке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</w:t>
      </w:r>
      <w:r w:rsidR="0015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2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виде).</w:t>
      </w:r>
    </w:p>
    <w:sectPr w:rsidR="002E5F3A" w:rsidRPr="0075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06"/>
    <w:rsid w:val="001066C7"/>
    <w:rsid w:val="001532F9"/>
    <w:rsid w:val="00174DB5"/>
    <w:rsid w:val="002E5F3A"/>
    <w:rsid w:val="007526CC"/>
    <w:rsid w:val="009A2D06"/>
    <w:rsid w:val="00D3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3730"/>
  <w15:chartTrackingRefBased/>
  <w15:docId w15:val="{6463FD15-E0C8-49CC-8A49-07A97FA0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2D06"/>
  </w:style>
  <w:style w:type="character" w:customStyle="1" w:styleId="s2">
    <w:name w:val="s2"/>
    <w:basedOn w:val="a0"/>
    <w:rsid w:val="009A2D06"/>
  </w:style>
  <w:style w:type="character" w:styleId="a3">
    <w:name w:val="Hyperlink"/>
    <w:basedOn w:val="a0"/>
    <w:uiPriority w:val="99"/>
    <w:unhideWhenUsed/>
    <w:rsid w:val="009A2D06"/>
    <w:rPr>
      <w:color w:val="0000FF"/>
      <w:u w:val="single"/>
    </w:rPr>
  </w:style>
  <w:style w:type="character" w:customStyle="1" w:styleId="preamble-verb">
    <w:name w:val="preamble-verb"/>
    <w:basedOn w:val="a0"/>
    <w:rsid w:val="009A2D06"/>
  </w:style>
  <w:style w:type="character" w:customStyle="1" w:styleId="s0">
    <w:name w:val="s0"/>
    <w:basedOn w:val="a0"/>
    <w:rsid w:val="009A2D06"/>
  </w:style>
  <w:style w:type="paragraph" w:styleId="a4">
    <w:name w:val="No Spacing"/>
    <w:uiPriority w:val="1"/>
    <w:qFormat/>
    <w:rsid w:val="00153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6965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98520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24094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.zakon.kz/Document/?doc_id=315482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nline.zakon.kz/Document/?doc_id=31548200" TargetMode="External"/><Relationship Id="rId9" Type="http://schemas.openxmlformats.org/officeDocument/2006/relationships/hyperlink" Target="https://online.zakon.kz/Document/?doc_id=39647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9051</Words>
  <Characters>51595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2020-11-23T10:07:00Z</dcterms:created>
  <dcterms:modified xsi:type="dcterms:W3CDTF">2020-11-24T03:59:00Z</dcterms:modified>
</cp:coreProperties>
</file>