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e32b" w14:textId="c0ee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обеспечению радиационной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августа 2022 года № ҚР ДСМ-71. Зарегистрирован в Министерстве юстиции Республики Казахстан 3 августа 2022 года № 29012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обеспечению радиационной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155 "Об утверждении гигиенических нормативов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под № 10671).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ҚР ДСМ-71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к обеспечению радиационной безопасности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гигиенические нормативы к обеспечению радиационной безопасности (далее –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Положения) и устанавливают гигиенические нормативы к обеспечению радиационной безопасности.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нормативах использованы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ионизирующее излучение – излучение, состоящее из заряженных, незаряженных частиц и фотонов, которые при взаимодействии со средой образуют ионы разных знаков;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 – физические лица, постоянно или временно работающие с источниками ионизирующего излучения (группа А) или находящиеся по условиям труда в сфере их воздействия (группа Б).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Нормативы распространяются на следующие виды воздействия источников ионизирующего излучения (далее – источник излучения) на человека: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условиях нормальной эксплуатации техногенных источников излучения;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радиационной аварии;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природных источников излучения;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медицинском облучении.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к обеспечению радиационной безопасности сформулированы для каждого вида облучения. Суммарная доза от всех видов облучения используется для оценки радиационной обстановки и ожидаемых медицинских последствий, а также для обоснования защитных мероприятий и оценки их эффективности.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распространяются на виды воздействия источников излучения на человека, указанные в пункте 3 настоящих нормативов, за исключением следующих источников излучения, создающие при любых условиях обращения с ними: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индивидуальную годовую эффективную дозу 10 микрозиверт (далее – мкЗв) и менее;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годовую эквивалентную дозу в коже 50 миллизиверт (далее – мЗв) и менее и в хрусталике 15 мЗв и менее;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коллективную эффективную годовую дозу 1 человеко-зиверта (далее – чел-Зв) и менее, либо когда при коллективной дозе более 1 чел-Зв оценка по принципу оптимизации показывает нецелесообразность снижения коллективной дозы;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космическое излучение на поверхности земли и внутреннее облучение человека, создаваемое природным калием, на которые практически невозможно влиять.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к обеспечению радиационной безопасности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обоснования расходов на радиационную защиту при реализации принципа оптимизации принимается, что облучение в коллективной эффективной дозе в 1 чел-Зв приводит к потенциальному ущербу, равному потере примерно 1 чел-Зв года жизни населения. Величина денежного эквивалента потери 1 чел-Зв года жизни устанавливается в размере 1 и более годового душевого национального дохода.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и коллективный пожизненный риск возникновения стохастических эффектов определяется по формулам соответственно. , где r, R – индивидуальный и коллективный пожизненный риск соответственно; Е – индивидуальная эффективная доза;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(Е)dE, – вероятность для i-го индивидуума получить годовую эффективную дозу от Е до E+dE; r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пожизненного риска сокращения длительности периода полноценной жизни в среднем на 15 лет на один стохастический эффект (от смертельного рака, серьезных наследственных эффектов и не смертельного рака, приведенного по вреду к последствиям от смертельного рака), равный: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производственного облучения: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5,6×10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1/ чел-Зв при Е &lt; 200 миллизиверт в год (далее – мЗв/год);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1,1×10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1/ чел-Зв при Е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≥ 200 мЗв/год.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облучения населения: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7,3×10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1/ чел-Зв при Е &lt; 200 мЗв/год;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1,5×10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1/ чел-Зв при Е ≥ 200 мЗв/год.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радиационной безопасности при облучении в течение года индивидуальный риск сокращения длительности периода полноценной жизни в результате возникновения тяжелых последствий от детерминированных эффектов консервативно принимается равным: 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>=Р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[D&gt;Д], где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[D&gt;Д], – вероятность для i-го индивидуума быть облученным с дозой больше Д при обращении с источником в течение года; Д – пороговая доза для детерминированного эффекта.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наиболее полной оценки вреда, наносимого здоровью в результате облучения в малых дозах, используется понятие радиационного ущерба, количественно учитывающего как эффекты облучения отдельных органов и тканей тела, отличающиеся радиочувствительностью к ионизирующему излучению, так и всего организма в целом. В соответствии с общепринятой линейной беспороговой теорией зависимости риска стохастических эффектов от дозы, величина риска пропорциональна дозе излучения и связана с дозой через линейные коэффициенты радиационного риска, в соответствии с приложением 1 к настоящим нормативам.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величина коэффициента риска, используемая для установления пределов доз персонала и населения, принята равной 0,05 Зв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нормальной эксплуатации ядерных, радиационных и электрофизических установок пределы доз техногенного облучения в течение года устанавливаются исходя из следующих значений индивидуального пожизненного радиационного риска: для персонала – 1×10-3, для населения – 5×10</w:t>
      </w:r>
      <w:r>
        <w:rPr>
          <w:rFonts w:ascii="Times New Roman"/>
          <w:b w:val="false"/>
          <w:i w:val="false"/>
          <w:color w:val="000000"/>
          <w:vertAlign w:val="superscript"/>
        </w:rPr>
        <w:t>-5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пренебрежимо малого риска составляет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обосновании защиты от источников потенциального облучения в течение года принимаются следующие значения обобщенного риска (произведение вероятности события, приводящего к облучению, и вероятности смерти, связанной с облучением): для персонала – 2,0×10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для населения 1,0×10</w:t>
      </w:r>
      <w:r>
        <w:rPr>
          <w:rFonts w:ascii="Times New Roman"/>
          <w:b w:val="false"/>
          <w:i w:val="false"/>
          <w:color w:val="000000"/>
          <w:vertAlign w:val="superscript"/>
        </w:rPr>
        <w:t>-5</w:t>
      </w: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нормативов к обеспечению радиационной безопасности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нормативу.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Нормативы к ограничению техногенного облучения в контролируемых условиях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категорий облучаемых лиц (персонал группы А, Б и население) устанавливаются три класса нормативов: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пределы доз (далее – ПД),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допустимые уровни монофакторного воздействия (для одного радионуклида, пути поступления или одного вида внешнего облучения), являющиеся производными от основных пределов доз: предел годового поступления (далее – ПГП), допустимые среднегодовые объемные активности (далее – ДОА), среднегодовые удельные активности (далее – ДУА), мощность эквивалентной дозы (далее – МЭД);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 уровни (дозы, уровни, активности, плотности потоков). Их значения учитывают достигнутый в организации уровень радиационной безопасности и обеспечивают условия, при которых радиационное воздействие будет ниже допустимого.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Основные пределы доз облучения не включают в себя дозы от природного и медицинского облучения, а также дозы вследствие радиационных аварий. На эти виды облучения устанавливаются специальные ограничения.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Эффективная доза для персонала составляет за период трудовой деятельности (50 лет) – 1000 мЗв и менее, для населения за период жизни (70 лет) – 70 мЗв и менее.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Годовая эффективная доза облучения персонала за счет нормальной эксплуатации техногенных источников излучения соответствует пределам доз,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нормативов.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годовой эффективной дозой понимается сумма эффективной дозы внешнего облучения, полученной за календарный год, и ожидаемой эффективной дозы внутреннего облучения, обусловленной поступлением в организм радионуклидов за этот же год.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стандартных условиях монофакторного поступления радионуклидов, определенных в параграфе 6 настоящих нормативов, годовое поступление радионуклидов через органы дыхания и среднегодовая объемная активность их во вдыхаемом воздухе соответствует числовым значениям ПГП и ДОА,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нормативов, где пределы доз взяты равными 20 мЗв в год для персонала и 1 мЗв в год для населения.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нестандартных условиях допустимые уровни МЭД, среднегодовая ДОА персонала и эквивалентная равновесная объемная активность (далее – ЭРОА) радона определяются расчетным путем, с учетом времени пребывания персонала в радиационно-опасной зоне.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персонала группы А значения ПГП и ДОА дочерних продуктов распада изотопов радона (Rn-222 и Rn-220) – Po-218 (RaA), Pb-214 (RaB), Bi-214 (RaC), Pb-212 (ThB), Bi-212 (ThC) в единицах эквивалентной равновесной активности (для ПГП) и эквивалентной равновесной объемной активности (для ДОА) составляют: ПГП: 0,10 П</w:t>
      </w:r>
      <w:r>
        <w:rPr>
          <w:rFonts w:ascii="Times New Roman"/>
          <w:b w:val="false"/>
          <w:i w:val="false"/>
          <w:color w:val="000000"/>
          <w:vertAlign w:val="subscript"/>
        </w:rPr>
        <w:t>RaA</w:t>
      </w:r>
      <w:r>
        <w:rPr>
          <w:rFonts w:ascii="Times New Roman"/>
          <w:b w:val="false"/>
          <w:i w:val="false"/>
          <w:color w:val="000000"/>
          <w:sz w:val="28"/>
        </w:rPr>
        <w:t xml:space="preserve"> + 0,52 П</w:t>
      </w:r>
      <w:r>
        <w:rPr>
          <w:rFonts w:ascii="Times New Roman"/>
          <w:b w:val="false"/>
          <w:i w:val="false"/>
          <w:color w:val="000000"/>
          <w:vertAlign w:val="subscript"/>
        </w:rPr>
        <w:t>RaB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+ 0,38 П</w:t>
      </w:r>
      <w:r>
        <w:rPr>
          <w:rFonts w:ascii="Times New Roman"/>
          <w:b w:val="false"/>
          <w:i w:val="false"/>
          <w:color w:val="000000"/>
          <w:vertAlign w:val="subscript"/>
        </w:rPr>
        <w:t>RaC</w:t>
      </w:r>
      <w:r>
        <w:rPr>
          <w:rFonts w:ascii="Times New Roman"/>
          <w:b w:val="false"/>
          <w:i w:val="false"/>
          <w:color w:val="000000"/>
          <w:sz w:val="28"/>
        </w:rPr>
        <w:t xml:space="preserve"> = 3,0 МБк;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0,91 П</w:t>
      </w:r>
      <w:r>
        <w:rPr>
          <w:rFonts w:ascii="Times New Roman"/>
          <w:b w:val="false"/>
          <w:i w:val="false"/>
          <w:color w:val="000000"/>
          <w:vertAlign w:val="subscript"/>
        </w:rPr>
        <w:t>ThB</w:t>
      </w:r>
      <w:r>
        <w:rPr>
          <w:rFonts w:ascii="Times New Roman"/>
          <w:b w:val="false"/>
          <w:i w:val="false"/>
          <w:color w:val="000000"/>
          <w:sz w:val="28"/>
        </w:rPr>
        <w:t>+ 0,09 П</w:t>
      </w:r>
      <w:r>
        <w:rPr>
          <w:rFonts w:ascii="Times New Roman"/>
          <w:b w:val="false"/>
          <w:i w:val="false"/>
          <w:color w:val="000000"/>
          <w:vertAlign w:val="subscript"/>
        </w:rPr>
        <w:t>ThC</w:t>
      </w:r>
      <w:r>
        <w:rPr>
          <w:rFonts w:ascii="Times New Roman"/>
          <w:b w:val="false"/>
          <w:i w:val="false"/>
          <w:color w:val="000000"/>
          <w:sz w:val="28"/>
        </w:rPr>
        <w:t xml:space="preserve"> = 0,68 МБк;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ДОА: 0,10 А</w:t>
      </w:r>
      <w:r>
        <w:rPr>
          <w:rFonts w:ascii="Times New Roman"/>
          <w:b w:val="false"/>
          <w:i w:val="false"/>
          <w:color w:val="000000"/>
          <w:vertAlign w:val="subscript"/>
        </w:rPr>
        <w:t>RaA</w:t>
      </w:r>
      <w:r>
        <w:rPr>
          <w:rFonts w:ascii="Times New Roman"/>
          <w:b w:val="false"/>
          <w:i w:val="false"/>
          <w:color w:val="000000"/>
          <w:sz w:val="28"/>
        </w:rPr>
        <w:t>+ 0,52 А</w:t>
      </w:r>
      <w:r>
        <w:rPr>
          <w:rFonts w:ascii="Times New Roman"/>
          <w:b w:val="false"/>
          <w:i w:val="false"/>
          <w:color w:val="000000"/>
          <w:vertAlign w:val="subscript"/>
        </w:rPr>
        <w:t>RaB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+ 0,38 А</w:t>
      </w:r>
      <w:r>
        <w:rPr>
          <w:rFonts w:ascii="Times New Roman"/>
          <w:b w:val="false"/>
          <w:i w:val="false"/>
          <w:color w:val="000000"/>
          <w:vertAlign w:val="subscript"/>
        </w:rPr>
        <w:t>RaC</w:t>
      </w:r>
      <w:r>
        <w:rPr>
          <w:rFonts w:ascii="Times New Roman"/>
          <w:b w:val="false"/>
          <w:i w:val="false"/>
          <w:color w:val="000000"/>
          <w:sz w:val="28"/>
        </w:rPr>
        <w:t xml:space="preserve"> = 1200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0,91 А</w:t>
      </w:r>
      <w:r>
        <w:rPr>
          <w:rFonts w:ascii="Times New Roman"/>
          <w:b w:val="false"/>
          <w:i w:val="false"/>
          <w:color w:val="000000"/>
          <w:vertAlign w:val="subscript"/>
        </w:rPr>
        <w:t>ThB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+ 0,09 А</w:t>
      </w:r>
      <w:r>
        <w:rPr>
          <w:rFonts w:ascii="Times New Roman"/>
          <w:b w:val="false"/>
          <w:i w:val="false"/>
          <w:color w:val="000000"/>
          <w:vertAlign w:val="subscript"/>
        </w:rPr>
        <w:t>ThC</w:t>
      </w:r>
      <w:r>
        <w:rPr>
          <w:rFonts w:ascii="Times New Roman"/>
          <w:b w:val="false"/>
          <w:i w:val="false"/>
          <w:color w:val="000000"/>
          <w:sz w:val="28"/>
        </w:rPr>
        <w:t xml:space="preserve"> = 270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где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годовые поступления и среднегодовые объемные активности в зоне дыхания соответствующих дочерних продуктов изотопов радона.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женщин в возрасте до 45 лет, работающих с источниками излучения, вводятся дополнительные ограничения: эквивалентная доза на поверхности нижней части области живота составляет 1 мЗв и менее в месяц, а поступление радионуклидов в организм за год составляет 1/20 ПГП и менее для персонала.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организации переводит беременную женщину на работу, не связанную с источниками излучения, со дня получения информации о факте беременности, на период беременности и грудного вскармливания ребенка.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студентов и учащихся старше 16 лет, проходящих профессиональное обучение с использованием источников излучения, годовые дозы соответствуют значениям, установленным для персонала группы Б.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ликвидации или предотвращении аварии подвергается планируемому повышенному облучению персонал группы А выше установленных пределов доз (приведенных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нормативов) только при необходимости спасения людей и (или) предотвращения их облучения. Подвергаются планируемому повышенному облучению мужчины старше 30 лет только при их добровольном письменном согласии, после информирования о возможных дозах облучения и риске для здоровья.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Планируемое повышенное облучение в эффективной дозе до 100 мЗв в год и эквивалентных дозах двукратных и менее значений,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нормативов, согласовывается с территориальным подразделением государственного органа в сфере санитарно-эпидемиологического благополучия населения (областного уровня, городов республиканского значения, столицы), облучение в эффективной дозе до 200 мЗв в год и четырехкратных значений эквивалентных доз согласовывается с государственным органом в сфере санитарно-эпидемиологического благополучия населения.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Повышенному облучению не подвергаются: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работники, ранее уже облученные в течение года в результате аварии или запланированного повышенного облучения с эффективной дозой 200 мЗв или с эквивалентной дозой, превышающей в четыре раза соответствующие пределы доз (приведенных в подпункте 1) пункта 10 настоящих нормативов);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медицинские противопоказания для работы с источниками излучения.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подвергшиеся облучению в эффективной дозе, превышающей 100 мЗв в течение года, при дальнейшей работе не подвергаются облучению в дозе свыше 20 мЗв за год.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Облучение эффективной дозой свыше 200 мЗв в течение года рассматривается как потенциально опасное. Лица, подвергшиеся такому облучению, немедленно выводятся из зоны облучения и направляются на медицинское обследование. Вопрос о последующей работе с источниками излучения этим лицам рассматривается в индивидуальном порядке, с учетом их согласия по решению компетентной медицинской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не относящиеся к персоналу, привлекаемые для проведения аварийных, спасательных и аналогичных работ, осуществляемых на радиоактивно загрязненных территориях, оформляются и приступают к работам как персонал группы А.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Нормативы к защите от природного облучения в производственных условиях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Эффективная доза облучения природными источниками излучения всех работников, включая персонал, составляет 5 мЗв в год и менее в производственных условиях (любые профессии и производства).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Средние значения радиационных факторов в течение года, соответствующие при монофакторном воздействии эффективной дозе 5 мЗв за год при продолжительности работы 2000 часов в год (далее – ч/год), средней скорости дыхания 1,2 кубический метр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и радиоактивном равновесии радионуклидов уранового и ториевого рядов в производственной пыли, составляют: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мощность эффективной дозы гамма-излучения на рабочем месте – 2,5 микрозиверт час (далее – мкЗв/ч);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воздухе зоны дыхания – 310 беккерель на кубический метр (далее –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воздухе зоны дыхания – 68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удельная активность в производственной пыли U-238, находящегося в радиоактивном равновесии с членами своего ряда 40/f килобеккерель на килограмм (далее – кБк/кг), где f – среднегодовая общая запыленность воздуха в зоне дыхания, миллиграмм на кубический метр (далее –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удельная активность в производственной пыли Th-232, находящегося в радиоактивном равновесии с членами своего ряда, – 27/f, кБк/кг.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многофакторном воздействии сумма отношений воздействующих факторов к указанным значениям составляет 1 и менее.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выборе участков территорий под строительство зданий и сооружений производственного назначения, отводятся участки с гамма-фоном 0,6 мкЗв/ч и менее, а плотность потока радона с поверхности грунта 250 миллибеккерель на квадратный метр в секунду (далее – мБк/(м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×с)) и менее.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Воздействие космических излучений на экипажи самолетов нормируется как природное облучение в производственных условиях и составляет 5 мЗв в год и менее.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Нормативы к ограничению техногенного и природного облучения населения в нормальных условиях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Допустимые значения содержания радионуклидов в пищевых продуктах, питьевой воде и атмосферном воздухе, соответствующие пределу дозы техногенного облучения населения 1 мЗв/год и квотам от этого предела, рассчитываются на основании значений дозовых коэффициентов при поступлении радионуклидов через органы пищеварения с учетом их распределения по компонентам рациона питания и питьевой воде, а также с учетом поступления радионуклидов через органы дыхания и внешнего облучения людей. Значения дозовых коэффициентов для критических групп населения, ДОА и ПГП через органы дыхания и ПГП через органы пищеварения,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проектировании новых зданий жилого и общественного назначения среднегодовая эквивалентная равновесная объемная активность дочерних продуктов радона и торона в воздухе помещений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>+4,6×ЭРОА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 100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менее, а мощность эффективной дозы гамма-излучения на открытой местности составляет более чем на 0,2 мкЗв/ч и менее.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эксплуатируемых зданиях среднегодовая эквивалентная равновесная объемная активность дочерних продуктов радона и торона в воздухе жилых помещений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>+4,6×ЭРОА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составляют 200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менее. При более высоких значениях объемной активности проводятся защитные мероприятия, направленные на снижение поступления радона в воздух помещений и улучшение вентиляции помещений. Защитные мероприятия проводятся также, если мощность эффективной дозы гамма-излучения в помещениях превышает мощность дозы на открытой местности более чем на 0,2 мкЗв/ч.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выборе участков территорий под строительство жилых домов и зданий социально-бытового назначения отводятся участки с гамма-фоном составляющим 0,3 мкЗв/ч и плотностью потока радона с поверхности грунта 80 мБк/(м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×с) и менее.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Эффективная удельная активность (далее – Аэфф) природных радионуклидов в строительных материалах (щебень, гравий, песок, бутовый и пиленный камень, цементное и кирпичное сырье и аналогичные строительные материалы), добываемых на их месторождениях или являющихся побочным продуктом промышленности, а также отходы промышленного производства, используемые для изготовления строительных материалов (золы, шлаки и аналогичные отходы промышленного производства) и готовой продукции составляет: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материалов, используемых в строящихся и реконструируемых жилых и общественных зданиях (I класс):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=А</w:t>
      </w:r>
      <w:r>
        <w:rPr>
          <w:rFonts w:ascii="Times New Roman"/>
          <w:b w:val="false"/>
          <w:i w:val="false"/>
          <w:color w:val="000000"/>
          <w:vertAlign w:val="subscript"/>
        </w:rPr>
        <w:t>Ra</w:t>
      </w:r>
      <w:r>
        <w:rPr>
          <w:rFonts w:ascii="Times New Roman"/>
          <w:b w:val="false"/>
          <w:i w:val="false"/>
          <w:color w:val="000000"/>
          <w:sz w:val="28"/>
        </w:rPr>
        <w:t>+1,3A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>+0,09A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≤ 370Бк/кг, где А</w:t>
      </w:r>
      <w:r>
        <w:rPr>
          <w:rFonts w:ascii="Times New Roman"/>
          <w:b w:val="false"/>
          <w:i w:val="false"/>
          <w:color w:val="000000"/>
          <w:vertAlign w:val="subscript"/>
        </w:rPr>
        <w:t>Ra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Rа-226 и Тh-232, находящихся в радиоактивном равновесии с остальными членами уранового и ториевого рядов, А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К-40 (Бк/кг);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материалов, используемых в дорожном строительстве в пределах территории населенных пунктов и зон перспективной застройки. Для наружной отделки жилых, общественных и производственных зданий, фонтаны, культурные и аналогичные сооружения при условии, что ожидаемая индивидуальная годовая эффективная доза облучения, при планируемом виде их использования составляет 10 мкЗв и менее, а годовая коллективная эффективная доза составляет 1 чел-Зв и менее. Не используются для строительства и внутренней отделки жилых и общественных зданий, детских, подростковых, медицинских организаций (II класс):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740 Бк/кг;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материалов, используемых в дорожном строительстве вне населенных пунктов (III класс):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1500 Бк/кг;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1,5 кБк/кг &lt;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4,0 кБк/кг (IV класс) вопрос об использовании материалов решается в каждом случае отдельно по согласованию с территориальным подразделением государственного органа в сфере санитарно-эпидемиологического благополучия населения.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4,0 кБк/кг материалы не используются в строительстве.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Предварительная оценка допустимости использования воды для питьевых целей по показателям радиационной безопасности дается по удельной суммарной альфа-активности (А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 и бета-активности (А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). При значениях А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 0,2 и 1,0 Бк/кг, соответственно, дальнейшие исследования воды не являются обязательными. В случае превышения указанных уровней проводится анализ содержания радионуклидов в воде. Если при совместном присутствии в воде нескольких природных и техногенных радионуклидов выполняется условие: , где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i-го радионуклида в воде, Бк/кг;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соответствующие уровни вмешательства (УВ) по пункту 70 настоящих нормативов, Бк/кг, то мероприятия по снижению радиоактивности питьевой воды не являются обязательным.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указанного условия защитные мероприятия по снижению содержания радионуклидов в питьевой воде осуществляются с учетом принципа оптимизации.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Критическим путем облучения людей за счет Rn-222, содержащегося в питьевой воде, является переход радона в воздух помещения и последующее ингаляционное поступление дочерних продуктов радона в организм. Уровень вмешательства для Rn-222 в питьевой воде составляет 60 Бк/кг. Определяется удельная активность Rn-222 в питьевой воде из подземных источников при децентрализованном водоснабжении.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возможном присутствии в воде H-3, C-14, I-131, Pb-210, Ra-228, Th-232, U-232 (в зонах наблюдения радиационных объектов I и II категории по потенциальной опасности) определяется удельная активность этих радионуклидов в воде.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Санитарно-эпидемиологическая экспертиза пищевой продукции, а также готовой к употреблению пищевой продукции из фруктов, овощей, ягод (консервированные овощи, грибы, варенья, джемы, сиропы, концентраты, напитки, соки) и ограничение облучения населения осуществляется путем регламентации содержания допустимых уровней радионуклидов Cs-137 и Sr-90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Содержание радионуклидов в чае (черный, зеленый, плиточный) составляет по Cs-137 – 400 Бк/кг и менее, Sr-90 – 200 Бк/кг и менее.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Содержание радионуклидов в кофе (в зернах, молотый, растворимый) составляет по Cs-137 – 300 Бк/кг и менее, Sr-90 – 100 Бк/кг и менее.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Содержание радионуклидов в БАД-ах на растительной основе, в том числе цветочная пыльца (сухие чаи), жидкие (эликсиры, бальзамы, настойки) составляет по Cs-137 – 200 Бк/кг и менее, Sr-90 – 100 Бк/кг и менее.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радионуклидов в лекарственных растениях (травы, кора, корневище, плоды) составляет по Cs-137 – 400 Бк/кг и менее, Sr-90 – 200 Бк/кг и менее.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радионуклидов в табаке и табачных изделиях составляет по Cs-137 – 120 Бк/кг и менее, Sr-90 – 50 Бк/кг и менее.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Оценка радиоактивности твердого топлива (уголь) включает: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мощности дозы гамма-излучения и определение однородности участка. Участки месторождения (пласта) считаются однородными при разности значений мощности эквивалентной дозы гамма излучения 30 % и менее на всей поверхности;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удельную активность природных радионуклидов угля и золы.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радиоактивности твердого топлива производится на стадии разведки месторождения или поверхностной съемки территории для открытого карьера или пласта в забое скважины.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годовая эффективная доза составляет 10 мкЗв и менее, а коллективная эффективная годовая доза – 1 чел-Зв и менее.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ограничений и вида безопасного использования топлива производится на основании анализа удельной активности природных радионуклидов. Сумма отношений удельной активности радионуклидов урана (радия) и тория к минимально значимым удельным активностям (С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 С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=A</w:t>
      </w:r>
      <w:r>
        <w:rPr>
          <w:rFonts w:ascii="Times New Roman"/>
          <w:b w:val="false"/>
          <w:i w:val="false"/>
          <w:color w:val="000000"/>
          <w:vertAlign w:val="subscript"/>
        </w:rPr>
        <w:t>U(Ra)</w:t>
      </w:r>
      <w:r>
        <w:rPr>
          <w:rFonts w:ascii="Times New Roman"/>
          <w:b w:val="false"/>
          <w:i w:val="false"/>
          <w:color w:val="000000"/>
          <w:sz w:val="28"/>
        </w:rPr>
        <w:t>/1000+A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>/1000, где А</w:t>
      </w:r>
      <w:r>
        <w:rPr>
          <w:rFonts w:ascii="Times New Roman"/>
          <w:b w:val="false"/>
          <w:i w:val="false"/>
          <w:color w:val="000000"/>
          <w:vertAlign w:val="subscript"/>
        </w:rPr>
        <w:t>U(Ra)</w:t>
      </w:r>
      <w:r>
        <w:rPr>
          <w:rFonts w:ascii="Times New Roman"/>
          <w:b w:val="false"/>
          <w:i w:val="false"/>
          <w:color w:val="000000"/>
          <w:sz w:val="28"/>
        </w:rPr>
        <w:t>,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U (Ra-226), Th-232, находящихся в радиоактивном равновесии с остальными членами уранового и ториевого рядов, соответственно, Бк/кг.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минимально значимая удельная активность (МЗУА) природного урана и тория, Бк/кг.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значения С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 класс радиационной опасности угля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Объект недропользования по добыче твердого топлива при отводе земельного участка и население, при эксплуатации твердого топлива проходят санитарно-эпидемиологическую экспертизу, в соответствии с Правилами проведения санитарно-эпидемиологической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ДСМ-334/2020 (зарегистрирован в Реестре государственной регистрации нормативных правовых актов под № 22007) (далее – Приказ № ҚР ДСМ-334/2020) и получают результат, в котором указывается предел доз облучения от природного радиационного фона (исходные данные).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предел доз служит критерием безопасности среды обитания человека без средств индивидуальной защиты от воздействия природных и техногенных источников излучения при проведении радиационного мониторинга, при рекультивационных работах и передаче этих земель в народно-хозяйственные угодия.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Установление класса радиационной опасности золы и вида ее безопасного использования в качестве строительного материала осуществляется по показателю удельной эффективной активности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прогнозирование удельной эффективной активности золы, образующейся при сжигании топлива, проводится по результатам радиационных испытаний угля и определяется по формуле: А</w:t>
      </w:r>
      <w:r>
        <w:rPr>
          <w:rFonts w:ascii="Times New Roman"/>
          <w:b w:val="false"/>
          <w:i w:val="false"/>
          <w:color w:val="000000"/>
          <w:vertAlign w:val="superscript"/>
        </w:rPr>
        <w:t>зола</w:t>
      </w:r>
      <w:r>
        <w:rPr>
          <w:rFonts w:ascii="Times New Roman"/>
          <w:b w:val="false"/>
          <w:i w:val="false"/>
          <w:color w:val="000000"/>
          <w:vertAlign w:val="subscript"/>
        </w:rPr>
        <w:t>эфф.прогн</w:t>
      </w:r>
      <w:r>
        <w:rPr>
          <w:rFonts w:ascii="Times New Roman"/>
          <w:b w:val="false"/>
          <w:i w:val="false"/>
          <w:color w:val="000000"/>
          <w:sz w:val="28"/>
        </w:rPr>
        <w:t>.=А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.×К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+∆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, где А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эффективная активность природных радионуклидов в пробе угля;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уголь– абсолютная погрешность определения Аугольэфф.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концентрации радионуклидов в золе, определяется по формуле: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=100% / А</w:t>
      </w:r>
      <w:r>
        <w:rPr>
          <w:rFonts w:ascii="Times New Roman"/>
          <w:b w:val="false"/>
          <w:i w:val="false"/>
          <w:color w:val="000000"/>
          <w:vertAlign w:val="super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, где А</w:t>
      </w:r>
      <w:r>
        <w:rPr>
          <w:rFonts w:ascii="Times New Roman"/>
          <w:b w:val="false"/>
          <w:i w:val="false"/>
          <w:color w:val="000000"/>
          <w:vertAlign w:val="super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зольность угля, %.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значения удельной активности устанавливается класс радиационной опасности и вид использования.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Технология разведки, добычи, транспортировки и переработки нефтяной и нефтеводяной суспензии исключает возможность загрязнения естественными радионуклидами технологического оборудования и объектов окружающей среды выше уровней, предусмотренных настоящими нормативами.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содержании в нефти природных радионуклидов в количестве 10 уровней вмешательства (УВ) и менее для воды (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нормативов), она используется без ограничения. При содержании радионуклидов более 10 уровней вмешательства для воды нефть к переработке подлежит только после ее очистки до указанной величины (10 УВ).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Содержание естественных радионуклидов в пластовых водах, закачиваемых в нефтегазоностный горизонт в процессе добычи нефтепродуктов не нормируется. При закачке их в водоносные горизонты или сбросе на рельеф местности концентрация естественных радионуклидов (ЕРН) в них составляет 10 УВ и менее для воды.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Удельная активность природных радионуклидов в минеральных удобрениях и агрохимикатах составляет: A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+1,5∙A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>≤1,0кБк/кг,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U-238 (Ra-226) и Th-232 (Th-228), находящихся в радиоактивном равновесии с остальными членами уранового и ториевого рядов, соответственно.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содержание К-40 в минеральных удобрениях и агрохимикатах не устанавливается. При обращении с материалами, содержащими К-40, соблюдаются требования по ограничению облучения населения за счет природных источников излучения,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Удельная активность природных радионуклидов в фосфорных удобрениях и мелиорантах составляет: A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+1,5∙A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≤ 4,0 кБк/кг,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U-238 (Ra-226) и Th-232 (Th-228), находящихся в радиоактивном равновесии с остальными членами уранового и ториевого рядов соответственно.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обеспечения радиационной безопасности населения и работников организаций и планирования видов и объема радиационного контроля при обращении с материалами с повышенным содержанием природных радионуклидов (бокситы, огнеупорные глины, шамот и магнезиты, полирующие порошки, огнеупорные составы (цирконовый, рутиловый, танталовый, молибденовый и вольфрамовый концентраты, бадделеит и аналогичные); легирующие добавки с редкометалльными и редкоземельными компонентами (скандием, иттрием, лантаном, церием и аналогичные) вводится следующая их классификация: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класс: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740 Бк/кг;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класс: 0,74 &lt; A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1,5 кБк/кг;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класс: 1,5 &lt; A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4,0 кБк/кг;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класс: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≥ 4,0 кБк/кг.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Обращение с материалами I класса в производственных условиях осуществляется без каких-либо ограничений. В строительстве не используются материалы 4 класса.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Радиационная безопасность при обращении с материалами II, III и IV класса обеспечивается по результатам санитарно-эпидемиологической экспертизы (гигиенической оценки),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ДСМ-334/2020.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Организация до начала разработки месторождения строительных материалов, минеральных удобрений, мелиорантов и топливно-энергетического сырья проходит, санитарно-эпидемиологическую экспертизу (гигиеническую оценку),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ДСМ-334/2020 и получает результат о степени его радиационной опасности и условии безопасного использования.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Норматив по ограничению медицинского облучения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Радиационная защита пациентов при медицинском облучении основывается на необходимости получения полезной диагностической информации и (или) терапевтического эффекта от соответствующих медицинских процедур при наименьших уровнях облучения (для лучевой терапии это требование относится к здоровым, не намеренно облучаемым, органам и тканям). Для обеспечения радиационной защиты пациентов применяются принципы обоснования назначения медицинских процедур и оптимизации защиты пациентов. При проведении профилактических медицинских рентгенологических исследований и научных исследований практически здоровых лиц годовая эффективная доза облучения этих лиц составляет 1 мЗв и менее.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Лица (не персонал рентгенорадиологических отделений), оказывающие помощь в поддержке пациентов (тяжелобольных, детей) при выполнении рентгенорадиологических процедур, не подвергаются облучению в дозе, превышающей 5 мЗв в год. Такие же требования предъявляются к радиационной безопасности взрослых лиц, проживающих вместе с пациентами, прошедшими курс радионуклидной терапии или брахитерапии с имплантацией закрытых источников и выписанных из клиники. Для остальных взрослых лиц, а также для детей, контактирующих с пациентами, выписанными из клиники после радионуклидной терапии или брахитерапии, предел дозы составляет 1 мЗв в год.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Пациенты, проходящие курс радионуклидной терапии или брахитерапии с имплантацией закрытых источников, выписываются из клиники при условии, что уровень гамма-излучения, испускаемого из тела, удовлетворяет требованиям пункта 51 настоящих нормативов. Пациенты выписываются после терапии радионуклидами, если введенная или остаточная активность радионуклидов в теле или измеренная мощность дозы в воздухе, вблизи тела пациента, ниже соответствующих значений, приведенных в приложении 8 настоящих нормативов. Перед выпиской пациентам дают письменные и устные инструкции относительно мер предосторожности, которые принимаются с тем, чтобы защитить от облучения членов семьи, с которыми они вступают в контакт. Такие же требования предъявляются к режиму амбулаторного лечения пациентов.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смерти пациента, в организме которого находится кардиостимулятор с радионуклидным источником энергии, кремация тела проводится после удаления источника.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планировании и проведении процедур, связанных с облучением ионизирующим излучением, в медицинской организации определяются и регистрируются дозы у всех лиц, подвергающихся медицинскому облучению.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Норматив по ограничению облучения населения в условиях радиационной аварии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Прогнозируемые уровни облучения, при которых необходимы защитные мероприятия проводятся, если предполагаемая доза излучения за короткий срок (2 суток (далее – сут.)) достигает уровней, при превышении которых возможны детерминированные эффекты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хроническом облучении в течение жизни защитные мероприятия обязательны, если годовые поглощенные дозы превышают уровни хронического облучения, создающие риск серьезных детерминированных эффектов,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Уровни вмешательства для временного отселения населения составляют: для начала временного отселения – 30 мЗв в месяц, для окончания временного отселения 10 мЗв в месяц. Если прогнозируется, что накопленная за один месяц доза находится выше указанных уровней в течение года, решается вопрос об отселении населения на постоянное место жительства.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проведении противорадиационных вмешательств, пределы доз (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10 настоящих нормативов) не используются.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аварии, повлекшей за собой радиоактивное загрязнение обширной территории, на основании контроля и прогноза радиационной обстановки устанавливается зона радиационной аварии. В зоне радиационной аварии проводится контроль радиационной обстановки и осуществляются мероприятия по снижению уровней облучения населения.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Критерии для принятия решений о мерах защиты населения при крупной радиационной аварии с радиоактивным загрязнением территории проводятся на основании сравнения прогнозируемой дозы, предотвращаемой защитным мероприятием, и уровней загрязнения с уровнями А и Б,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 Критерии для принятия решений об ограничении потребления загрязненных продуктов и воды,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Общие критерии реагирования для защитных действий и мер реагирования, принимаемых в ситуациях аварийного облучения с целью снижения риска стохастических эффектов,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Уровни доз облучения для аварийных работников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поздних стадиях радиационной аварии, повлекшей за собой загрязнение обширных территорий долгоживущими радионуклидами, решения о защитных мероприятиях принимаются с учетом сложившейся радиационной обстановки и конкретных социально-экономических условий.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Нормативы вмешательства на загрязненных территориях приведены в приложении 16 к настоящим нормативам.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Значения допустимых уровней радиационного воздействия в нормальных условиях эксплуатации источников ионизирующего излучения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Для каждой категории облучаемых лиц значение допустимого уровня радиационного воздействия для данного пути облучения определено таким образом, чтобы при указанном уровне воздействия только одного данного фактора облучения в течение года значение дозы равнялось величине соответствующему годовому пределу дозы (усредненному за пять лет),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нормативов.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Значения допустимых уровней для всех путей облучения определены для стандартных условий, которые характеризуются следующими параметрами: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объемом вдыхаемого воздуха V, с которым радионуклид поступает в организм на протяжении календарного года;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временем облучения t в течение календарного года;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геометрией внешнего облучения потоками ионизирующего излучения.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 установлены следующие значения стандартных параметров: V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2,4×10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год; t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1700 ч в год; M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0. Для населения установлены следующие значения стандартных параметров: t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8800 ч в год; M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730 кг в год для взрослых.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объем вдыхаемого воздуха установлен в зависимости от возраста и составляет следующее: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 =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"новорожденные до 1 года";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V = 1900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"дети в возрасте 1-2 года";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 = 3200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"дети в возрасте 2-7 лет";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V = 5200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"дети в возрасте 7-12 лет";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V = 7300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"дети в возрасте 12-17 лет";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V = 8100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"взрослые (старше 17 лет)".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целей нормирования поступления радионуклидов через органы дыхания в форме радиоактивных аэрозолей их химические соединения разделены на три типа в зависимости от скорости перехода радионуклида из легких в кровь: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"М" (медленно растворимые соединения): при растворении в легких веществ, отнесенных к этому типу, наблюдается компонента активности радионуклида, поступающая в кровь со скоростью 0,0001 сут</w:t>
      </w:r>
      <w:r>
        <w:rPr>
          <w:rFonts w:ascii="Times New Roman"/>
          <w:b w:val="false"/>
          <w:i w:val="false"/>
          <w:color w:val="000000"/>
          <w:vertAlign w:val="superscript"/>
        </w:rPr>
        <w:t>.-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"П" (соединения, растворимые с промежуточной скоростью): при растворении в легких веществ, отнесенных к этому типу, основная активность радионуклида поступает в кровь со скоростью 0,005 сут.</w:t>
      </w:r>
      <w:r>
        <w:rPr>
          <w:rFonts w:ascii="Times New Roman"/>
          <w:b w:val="false"/>
          <w:i w:val="false"/>
          <w:color w:val="000000"/>
          <w:vertAlign w:val="superscript"/>
        </w:rPr>
        <w:t>-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"Б" (быстро растворимые соединения): при растворении в легких веществ, отнесенных к этому типу, основная активность радионуклида поступает в кровь со скоростью 100 сут.</w:t>
      </w:r>
      <w:r>
        <w:rPr>
          <w:rFonts w:ascii="Times New Roman"/>
          <w:b w:val="false"/>
          <w:i w:val="false"/>
          <w:color w:val="000000"/>
          <w:vertAlign w:val="superscript"/>
        </w:rPr>
        <w:t>-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нормирования поступления радионуклидов через органы дыхания в форме радиоактивных газов выделены типы "Г" (Г1 – Г3) газов и паров соединений некоторых элементов.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соединений элементов по типам при ингаляции в производственных условиях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значения дозовых коэффициентов, а также величин ПГП персонала (далее –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), ПГП населения (далее – ПГП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>), ДОА персонала (далее –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) и ДОА населения (далее – ДОА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>) для воздуха рассчитаны для аэрозолей с логарифмически нормальным распределением частиц по активности при медианном по активности аэродинамическом диаметре 1 микрометр и стандартном геометрическом отклонении, равном 2,5.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для персонала на случай поступления радионуклидов с вдыхаемым воздухом приведены значения дозового коэффициента, допустимого годового поступления ПГПперс, допустимой среднегодовой объемной активности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не входят инертные газы, поскольку они являются источниками внешнего облучения, а также изотопы радона с продуктами их распада. Природные радионуклиды Rb-87, In-115, Nd-144, Sm-147 и Re-187 не включены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нормативов, поскольку они нормируются по их химической токсичности. Из-за химической токсичности урана поступление через органы дыхания его соединений типов Б или П составляет 2,5 мг в сут. и менее и 500 мг в год и менее.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химическая форма соединения данного радионуклида неизвестна, то используются данные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для соединения с наибольшим значением величины дозового коэффициента и, соответственно, наименьшими значениями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Значения дозовых коэффициентов ℇ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 приведены в приложении 19 к настоящим нормативам.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Числовые значения эквивалентных доз облучения и среднегодовых допустимых плотностей потоков частиц при внешнем облучении лиц из персонала приведены в приложении 20 настоящих нормативов. Значения среднегодовых допустимых плотностей потоков частиц (моноэнергетические электроны, бета частицы, моноэнергетические фотоны и нейтроны) даны для широкого диапазона энергий излучения и двух наиболее вероятных геометрий облучения: изотропного (2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4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) поля излучения и падения параллельного пучка излучения на тело спереди (передне-задняя геометрия (далее – ПЗ)).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Значения допустимых уровней радиоактивного загрязнения поверхностей рабочих помещений и находящегося в них оборудования, кожных покровов, специальной одежды, специальной обуви и средств индивидуальной защиты персонала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 Для кожных покровов, специальной одежды, специальной обуви и средств индивидуальной защиты нормируется общее (снимаемое и не снимаемое) радиоактивное загрязнение. В остальных случаях нормируется только снимаемое загрязнение.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общего радиоактивного загрязнения кожных покровов определены с учетом проникновения доли радионуклида в кожу и в организм. Расчет проведен в предположении, что общая площадь загрязнения составляет 300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менее.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Допустимые уровни снимаемого радиоактивного загрязнения поверхности транспортных средств, используемых для перевозки радиоактивных веществ и материалов приведены в приложении 22 настоящих нормативов.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Минимально значимые удельная активность (далее – МЗУА), минимальная значимая активность (далее – МЗА) радионуклидов для открытых и закрытых радионуклидных источников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уровнях активности радионуклидов, меньше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нормативу и условии применения МЗУА и МЗА одновременно, индивидуальная эффективная годовая доза облучения лиц из персонала и населения составляет 10 мкЗв и менее и в аварийных случаях – 1 мЗв и менее, а коллективная эффективная доза – 1 чел-Зв и менее при любых условиях использования. Эквивалентная доза на кожу составляет 50 мЗв в год и менее.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радионуклиды оценивались при их попадании в потребительские товары из техногенных источников (например, Ra-226, Po-210) или по их химической токсичности (для тория, урана и аналогичных природных радионуклидов).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присутствует несколько нуклидов, то сумма отношений активности к их табличным значениям составляет единицу и менее. Радионуклиды,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нормативу, в зависимости от минимально значимой суммарной активности делятся на 4 группы радиационной опасности: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 – 1×10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 – 1×10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Бк и 1×10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– 1×10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Бк и 1×10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 – 1×10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Бк и 1×10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Бк, а также Kr-83m, Kr-85m и Xe-135m.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Категории опасности закрытых радионуклидных источников, используемых в деятельности организации,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Уровни радиоактивного загрязнения поверхности транспортных средств соответствуют значениям, установленным настоящим нормативом. Допустимые уровни радиоактивного загрязнения поверхности транспортных средств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Мощность эквивалентной дозы, используемой при проектировании защиты от внешнего ионизирующего излучения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 В указанном приложении приведены значения мощности дозы от техногенных источников излучения, имеющихся в организации. Переход от измеряемых значений эквивалентной дозы к эффективной дозе осуществляется по специальным методическим рекомендациям.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зависимости от группы радиационной опасности радионуклида, которая устанавливается в зависимости от МЗА, и его фактической активности, на рабочем месте устанавливается класс работ. Виды классов работ с открытыми источниками ионизирующего излучения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Допустимые удельные активности основных долгоживущих радионуклидов для неограниченного использования металлов после предварительной переплавки или переработки и изделий на основе этих металлов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19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Линейные коэффициенты радиационного риска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Облучаемая группа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риска злокачественных новообразований,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риска наследственных эффектов, 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за выполнением нормативов к обеспечению радиационной безопасности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Радиационный контроль является важной частью обеспечения радиационной безопасности на всех стадиях проектирования, строительства, эксплуатации и вывода из эксплуатации радиационного объекта. Он имеет целью определение степени соблюдения принципов радиационной безопасности и требований, действующих нормативных правовых актов в области радиационной безопасности и включает: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непревышения установленных основных пределов доз облучения и допустимых уровней при нормальной работе;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информации для оптимизации защиты и принятия решений о вмешательстве в ситуациях аварийного облучения.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Радиационный контроль осуществляется за всеми источниками излучения, кроме приведенных в пункте 4 настоящих нормативов.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Радиационному контролю подлежат: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радиационные характеристики источников излучения, выбросов в атмосферу, жидких и твердых радиоактивных отходов;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радиационные факторы, создаваемые технологическим процессом на рабочих местах и в окружающей среде;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радиационные факторы на загрязненных радионуклидами территориях и в зданиях с повышенным уровнем природного облучения;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уровни облучения персонала и населения от всех источников излучения, на которые распространяется действие настоящих нормативов.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контролируемыми параметрами являются: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годовая эффективная и эквивалентная дозы облучения;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радионуклидов в организм и их содержание в организме для оценки годового поступления;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объемная или удельная активность радионуклидов в воздухе, воде, пищевых продуктах, строительных материалах и дрyгих;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радиоактивное загрязнение кожных покровов, одежды, обуви, рабочих поверхностей;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доза и мощность дозы внешнего излучения;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плотность потока частиц и фотонов.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от измеряемых величин внешнего излучения к нормируемым определяется методическими указаниями по проведению соответствующих видов радиационного контроля.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оперативного контроля для всех контролируемых параметров согласно пункту 3 приложения 2 к настоящему нормативу устанавливаются контрольные уровни. Значение этих уровней устанавливается таким образом, чтобы было гарантировано непревышение основных пределов доз облучения, с учетом облучения от всех подлежащих контролю источников излучения, достигнутого уровня защищенности и возможности его дальнейшего снижения с учетом требований принципа оптимизации. Обнаруженное превышение контрольных уровней является основанием для выяснения причин этого превышения и разработки мероприятий по его устранению.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планировании и проведении мероприятий по обеспечению радиационной безопасности, принятии решений в области обеспечения радиационной безопасности, анализе эффективности указанных мероприятий, проводится оценка состояния радиационной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обеспечению радиационной безопасности", утвержденных приказом Министра здравоохранения Республики Казахстан от 15 декабря 2020 года № ҚР ДСМ-275/2020" (зарегистрирован в Реестре государственной регистрации нормативных правовых актов под № 21822).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и учет индивидуальных доз облучения, полученных гражданами при использовании источников излучения, проведении медицинских рентгенорадиологических процедур, а также обусловленных естественным радиационным и техногенно измененным радиационным фоном,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фоном, утвержденными приказом исполняющего обязанности Министра национальной экономики Республики Казахстан от 27 марта 2015 года № 259 (зарегистрирован в Реестре государственной регистрации нормативных правовых актов под № 21822).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пределы доз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величины&lt;1&gt;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группы А&lt;2&gt;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мЗв в год в среднем за любые последовательные 5 лет, но составляет 50 мЗв в год 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мЗв в год в среднем за любые последовательные 5 лет, но составляет 5 мЗв в год и менее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за год 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хрусталике глаза&lt;3&gt;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мЗв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коже&lt;4&gt;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мЗв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кистях и стопах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мЗв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мЗв</w:t>
            </w:r>
          </w:p>
        </w:tc>
      </w:tr>
    </w:tbl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Допускается одновременное облучение до указанных пределов по всем нормируемым величинам.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Основные пределы доз, как и все остальные допустимые уровни облучения персонала группы Б, равны 1/4 значений для персонала группы А.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Относится к дозе на глубине 300 миллиграмм на квадратный сантиметр (далее –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&lt;4&gt; Относится к среднему по площади в 1 квадратный сантиметр (далее –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значению в базальном слое кожи толщиной 5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покровным слоем толщиной 5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На ладонях толщина покровного слоя – 40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Указанным пределом допускается облучение всей кожи человека при условии, что в пределах усредненного облучения любого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кожи этот предел не будет превышен. Предел дозы при облучении кожи лица обеспечивает не превышение предела дозы на хрусталик от бета-частиц.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2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 &lt;1&gt;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 воздухом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 пищей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группа&lt;2&gt;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Дозовый коэффициент,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среднегодовая объемная активность,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группа &lt;2&gt;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Дозовый коэффициент,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</w:p>
          <w:bookmarkEnd w:id="2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Зв/Бк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</w:p>
          <w:bookmarkEnd w:id="2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Бк в год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</w:p>
          <w:bookmarkEnd w:id="2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Зв/Бк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</w:p>
          <w:bookmarkEnd w:id="2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Бк в год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 час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K-40&lt;7&gt;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1,28+9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час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&lt;8&gt;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&lt;8&gt;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&lt;8&gt;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&lt;8&gt;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7,04+8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4,47+9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1,1+4</w:t>
            </w:r>
          </w:p>
        </w:tc>
      </w:tr>
    </w:tbl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За исключением случаев, отмеченных особо, регламентированные значения относятся ко всем возможным соединениям радионуклидов, поступающим в организм с воздухом, пищей и водой.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Обозначение критических групп: #1 – новорожденные дети до 1 года; #2 – дети в возрасте 1-2 года; #3 – дети в возрасте 2-7 лет; #4 – дети в возрасте 7-12 лет; #5 – дети в возрасте 12-17 лет; #6 – взрослые (старше 17 лет).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Неорганические соединения трития.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&lt;4&gt; Органические соединения трития.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&lt;5&gt; Неорганические соединения серы.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&lt;6&gt; Органические соединения серы.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&lt;7&gt; При поступлении изотопа 40K дополнительно к природной смеси изотопов калия.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&lt;8&gt; Органические соединения ртути.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&lt;9&gt; Неорганические соединения ртути.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радионуклидов Cs-137 и Sr-90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Cs-137, Бк/кг(л)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Sr-90, Бк/кг(л)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мясные продукты и субпродукты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Оленина, мясо диких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Птица, в том числе полуфабрикаты, свежие, охлажденные, замороженные (все виды убойной, промысловой и дикой птицы) Субпродукты птицы охлажденные и замороженные. В том числе: колбасные изделия, копчености, кулинарные изделия из мяса птицы;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 птицы и мясо растительные;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птицы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продукты в том числе: мясо морских млекопитающих, рыба маринованная, рыбная продукции, икра, молоки, аналоги икры, печень рыб Консервы, пресервы рыбные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 и вяленая копченая, соленая, рыбная кулинария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Моллюски, ракообразные, земноводные, водоросли и травы морские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продукты их переработки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 (в пересчете на исходный продукт с учетом содержания сухих веществ в нем и конечном продукте)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Молоко-сырье, сливки -сырье, молоко пастеризованное, стерилизованное и топленое, сметана, кисломолочные напитки, йогурт, в том числе творог и изделия творожные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и концентрированное, консервы молочные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сухие: молоко, сливки, смеси для мороженого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(твердые, плавленые, мягкие, рассольные, брынза)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корнеплоды свежие и свежезамороженные, зелень 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бахчевые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виноград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дикорастущие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овощи: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бахчевые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виноград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дикорастущие ягоды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продовольственное, в том числе пшеница, рожь, трикале, овес, ячмень, просо, гречиха, рис, кукуруза, сорго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зернобобовых, горох, фасоль, маш, чипа, чечевица, 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Сахаристые кондитерские изделия: карамель, глазурь и неглазурь, конфеты, помадные, ирис, халва, пастила, зефир, мармелад и аналогичные сахаристые кондитерские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изделия из 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Какао-бобы и какао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 и пряности столовые (сухие)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масленичных культур (подсолнечника, сои, хлопчатника, кукурузы, льна, горчицы, рапса, арахиса)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(все виды) Продукты переработки растительных масел и животных жиров (Маргарин, кулинарный жир, кондитерские жиры, майонезы)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сырец говяжий, свиной, бараний и аналогичные жир сырец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 охлажденный, замороженный, соленый, конченый Жиры животные топленые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продукты на основе сочетания животных(включая молочный жир) и растительных 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 в качестве лечебно- профилактического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(сокосодержащие, искусственно-минерализованные, изготавливаемые из концентратов)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брожения (изготавливаемые из концентратов)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вино, водка и остальные спиртные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 хлебобулочные изделия бараночки сухарные изделия хлебные палочки, мучные кондитерские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крупы, толокно, хлопья, пищевые злаки, макаронные изделия,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, патока и продукты их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пищевые, биомасса одноклеточных растений, бактериологические препараты и дрожжи сухие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Бульоны сухие пищевые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Ксилит, сорбит, маннит и остальные сахароспирты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и лечебно-профилактическая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основ. компоненту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основ. компоненту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БАД-источники преимущественно пищевых волокон(пектины, отруби, растительная клетчатка, микрокристаллическая целлюлоза)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на растительной основе: сухие, жидкие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продукты детского питания в готовом для употребления виде &lt;1&gt;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для питания детей раннего возраста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зерновой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плодоовощной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мясной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рыбной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Для сублимированных продуктов удельная активность определяется в восстановленном продукте.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Классы радиационной опасности угля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угля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отношений удельной активности радионуклидов к МЗУА,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использования угля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уголь в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 уголь в хозяйственной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5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Классы радиационной опасности золы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золы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радионуклидов,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эфф.прогн 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эфф) Бк/кг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безопасного использования золы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строящихся и реконструируемых жилых и общественных зданиях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370 до 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дорожном строительстве в пределах территории населенных пунктов и зон перспективной застройки, а также при возведении производственных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740-1500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дорожном строительстве вне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 до 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использования золы решается в каждом случае отдельно по согласованию с территориальным подразделением государственного органа в сфере санитарно-эпидемиологического благополучия населения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6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Активность радионуклидов в теле взрослого пациента (ГБк) после радионуклидной терапии или брахитерапии с имплантацией закрытых источников и мощность эквивалентной дозы (мкЗв/ч) на расстоянии 1 метра от поверхности тела, при которых пациент выписывается из клиники&lt;1&gt;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полураспада, сут.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в теле, ГБк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дозы, мкЗв/ч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I-125&lt;2&gt;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&lt;1&gt; В случае многократного лечения в течение года активность в теле и мощность дозы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уменьшается в число раз, равное числу курсов лечения за год.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В составе имплантатов для брахитерапии предстательной железы.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6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Прогнозируемые уровни облучения, при которых необходимы защитные мероприятия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или ткань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Поглощенная доза в органе или ткани за 2 сут.,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6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хронического облучения, создающие риск серьезных детерминированных эффектов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или ткань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поглощенная доза,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костный мозг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принятия неотложных решений в начальном периоде радиационной аварии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защиты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Предотвращаемая доза за первые 10 сут., мГр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тело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железа, легкие, кожа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Йодная профилактика: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&lt;1&gt;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&lt;1&gt;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Только для щитовидной железы.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7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принятия решений об отселении и ограничении потребления загрязненных пищевых продукции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Предотвращаемая эффективная доза, мЗв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потребления загрязненных пищевых продукции и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за первый год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1/год в последующие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за первый год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10/год в последующие годы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за первый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за первый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за все время отселения</w:t>
            </w:r>
          </w:p>
        </w:tc>
      </w:tr>
    </w:tbl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уровень облучения, предотвращаемого защитным мероприятием не превосходит уровень А, меры защиты связанные с нарушением нормальной жизнедеятельности населения, а также хозяйственного и социального функционирования территории не проводят.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принятия решений об ограничении потребления загрязненных пищевых продукции в первый год после возникновения аварии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радионуклида в пищевых продуктах, кБк/кг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I-131, Cs-134, Cs-137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Pu-238, Pu-239, Am-241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предотвращаемое защитным мероприятием облучение превосходит уровень А, но не достигает уровня Б, решение о выполнении мер защиты принимается по принципам обоснования и оптимизации с учетом конкретной обстановки и местных условий.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уровень облучения, предотвращаемого достигает и превосходит уровень Б выполняются соответствующие меры защиты, даже если они связаны с нарушением нормальной жизнедеятельности населения, хозяйственного и социального функционирования территории.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критерии реагирования для защитных действий и мер реагирования, принимаемых в ситуациях аварийного облучения с целью снижения риска стохастических эффектов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критерии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защитных 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прогнозируемая доза облучения превышает следующие общие критерии, то необходимо провести срочные&lt;1&gt; защитные 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облучения щитовидной железы вследствие поступления изотопов йода в организм за первые 7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мЗв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 щитовидной железы&lt;2&gt;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облучения за первые 7 дней&lt;3&gt;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Укрытие, эвакуация, дезактивация, ограничение потребления пищевых продуктов, молока и воды, контроль радиоактивного загрязнения, информирование населения&lt;4&gt;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облучения зародыша или плода за первые 7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прогнозируемая доза облучения превышает следующие общие критерии, то необходимо провести защитные и мероприятия на ранней фазе аварии&lt;1&gt;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Эффективная доза облучения за год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переселение, дезактивация, завоз чистых пищевых продуктов, молока и воды&lt;5&gt;, информирование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облучения зародыша или плода за период внутриутробного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полученная доза облучения превышает следующие общие критерии, то необходимо провести долгосрочные медицинские мероприятия с целью выявления и эффективного лечения радиационно-индуцируемых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за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Скрининг, основанный на эквивалентных дозах облучения определенных радиочувствительных органов (основание для медицинского наблюдения), консультирование по основным вопросам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облучения зародыша или плода за период внутриутробного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для принятия обоснованных решений в особых случаях</w:t>
            </w:r>
          </w:p>
        </w:tc>
      </w:tr>
    </w:tbl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Срочные защитные мероприятия необходимо проводить немедленно (например, в течение часа), с целью повышения их эффективности. Ранние защитные мероприятия проводятся в течение дней или недель с целью повышения их эффективности. Они продолжаются длительное время даже после завершения чрезвычайной ситуации.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Стабильный йод назначается: если во время аварии произошел выброс радиоактивного йода; до или почти сразу после выброса радиоактивного йода; только в течение короткого периода сразу после поступления радиоактивного йода в организм.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Эффективная доза (эквивалентная доза облучения органа) за указанный промежуток времени равна сумме эффективной дозы (эквивалентной дозы облучения органа) внешнего облучения, полученной за указанный период, и ожидаемой эффективной дозы (эквивалентной дозы облучения органа) от поступления радионуклидов в организм за тот же период времени.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&lt;4&gt; Людям, подвергшимся радиационному облучению, предоставляется достаточная информация о долгосрочных рисках для здоровья в результате облучения, а также они заверяются в том, что никакие радиационно-обусловленные эффекты для здоровья не предвидятся в том случае, если эффективно проводились защитные мероприятия.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&lt;5&gt; В исключительных случаях принимаются более высокие значения критериев реагирования. Более высокие значения будут обоснованными в следующих случаях: невозможность поставки чистых пищевых продуктов и воды; экстремальные погодные условия; стихийное бедствие; быстрое прогрессирование ситуации, а также случаи злоумышленных действий. Критерии реагирования, используемые в этих случаях, составляют в 2-3 раза и менее представленных в настоящей приложение величины.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доз облучения для аварийных работников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дозы облучения&lt;1&gt;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по спасению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Десятикратное значение предела дозы профессионального облучения в течение отдельного года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 &lt; 500 мЗв&lt;2&gt;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уровень дозы облучения превышается лишь в том случае, если польза для дрyгих людей, очевидно, превышает риск для аварийного работника, и аварийный работник добровольно согласен принимать участие в защитных мероприятиях, осознавая и принимая риск, которому подвергается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для предотвращения тяжелых детерминированных эффектов для здоровьяи действия по предотвращению развития катастрофических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Десятикратное значение предела дозы профессионального облучения в течение отдельного года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 &lt; 500 мЗв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для предотвращения больших коллективных 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Двукратное значение предела дозы профессионального облучения в течение отдельного года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 &lt; 100 мЗв</w:t>
            </w:r>
          </w:p>
        </w:tc>
      </w:tr>
    </w:tbl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Данные величины используются только при облучениях из-за внешней проникающей радиации. Путем применения средств индивидуальной защиты необходимо предотвратить дозы облучения, получаемые из-за непроникающего внешнего излучения и поступления радионуклидов в организм.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Н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(10) – индивидуальный эквивалент дозы.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вмешательства на загрязненных территориях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разных стадиях радиационной аварии вмешательство регулируется зонированием загрязненных территорий, основанным на величине годовой эффективной дозы, которую получают жители в отсутствии мер радиационной защиты. Под годовой дозой здесь понимается эффективная доза, средняя у жителей населенного пункта за текущий год, обусловленная искусственными радионуклидами, поступившими в окружающую среду в результате радиационной аварии.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территории, где годовая эффективная доза составляет 1 мЗв и менее, производится обычный контроль радиоактивного загрязнения объектов окружающей среды и сельскохозяйственной продукции, по результатам которого оценивается доза облучения населения. Проживание и хозяйственная деятельность населения на этой территории по радиационному фактору не ограничивается. Эта территория не относится к зонам радиоактивного загрязнения. При величине годовой дозы более 1 мЗв загрязненные территории по характеру необходимого контроля обстановки и защитных мероприятий подразделяются на зоны.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Зонирование на ранней и промежуточной стадиях радиационной аварии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Зонирование на восстановительной стадии радиационной аварии: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радиационного контроля – от 1 мЗв до 5 мЗв. В этой зоне помимо мониторинга радиоактивности объектов окружающей среды, сельскохозяйственной продукции и доз внешнего и внутреннего облучения населения и его критических групп осуществляются меры по снижению доз на основе принципа оптимизации и необходимые активные меры защиты населения;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ограниченного проживания населения – от 5 мЗв до 20 мЗв. В этой зоне осуществляются те же меры мониторинга и защиты населения, что и в зоне радиационного контроля. Добровольный въезд на указанную территорию для постоянного проживания не ограничивается. Лицам, въезжающим на указанную территорию для постоянного проживания, разъясняется риск ущербу здоровья, обусловленный воздействием радиации;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отселения – от 20 мЗв до 50 мЗв. Въезд на указанную территорию для постоянного проживания не разрешен. В этой зоне постоянно не проживают лица репродуктивного возраста и дети. Здесь осуществляется радиационный мониторинг людей и объектов внешней среды, а также необходимые меры радиационной и медицинской защиты;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зона отчуждения – более 50 мЗв. В этой зоне постоянно не проживают, а хозяйственная деятельность и природопользование регулируются специальными актами. Осуществляются меры мониторинга и защиты, работающих с индивидуальным дозиметрическим контролем.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вмешательства при обнаружении локальных радиоактивных загрязнений: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исследования – от 0,01 до 0,3 мЗв/год. Это такой уровень радиационного воздействия источника на население, при достижении которого требуется выполнить исследование источника с целью уточнения оценки величины годовой эффективной дозы и определения величины дозы, ожидаемой за 70 лет;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вмешательства – более 0,3 мЗв/год. Это такой уровень радиационного воздействия, при превышении которого требуется проведение защитных мероприятий с целью ограничения облучения населения.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необходимости, а также о характере, объеме и очередности защитных мероприятий принимается с учетом следующих основных условий: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местонахождения загрязненных участков (жилая зона: дворовые участки, дороги и подъездные пути, жилые здания, сельскохозяйственные угодья, садовые и приусадебные участки и аналогичные загрязненные участки; промышленная зона: территория предприятия, здания промышленного и административного назначения, места для сбора отходов и аналогичные загрязненные участки);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площади загрязненных участков;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возможного проведения на участке загрязнения работ, действий (процессов), которые приводят к увеличению уровней радиационного воздействия на население;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мощности дозы гамма-излучения, обусловленной радиоактивным загрязнением;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мощности дозы гамма-излучения на различной глубине от поверхности почвы (при загрязнении территории).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соединений элементов по типам при ингаляции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тритированной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тритий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Тритированный металл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углерод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(CO2)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(CO)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лантаноидами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нитраты, металл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Алюмосиликаты (стекло)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Zn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Sn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Bi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и лантаноидов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в элементарной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Sr, Ba, Ge, Sn, Pb, As, Sb, Bi, Ag, Cu, Au, Zn, Cd, Hg, Mo, W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Ca, Sr, Ba, Ra, As, Sb, Bi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 углерода (CS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Ni(CO)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неорганические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сульфиды, 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в элементарной форме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неорганические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MoS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металл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Тетраоксид рутения RuO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сульфиды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сульфиды, галогениды, нитраты, фосфат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сульфиды, сульфаты,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теллура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Метилиод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Труднорастворимые соединения, 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тантал, оксиды, гидроксиды, галогениды, карбиды, нитраты, нитриды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нитраты, элементарный ирридий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нитраты, сульфиды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органические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ртути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Протактиний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Нептуний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 кроме хелатов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Эйнштейний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2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дозовых коэффициентов (ℇ), предела годового поступления (ПГП) с воздухом и допустимой среднегодовой объемной активности (ДОА) в воздухе отдельных радионуклидов для персонала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соединения при ингаляции &lt;2&gt;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Дозовый коэффициент , Зв/Бк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 ПГП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 в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среднегодовая объемная активность ДОА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 &lt;3&gt;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1,28+09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7,50+04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6,50+04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сут..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3Rh-106m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9,30+15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1,00+13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1,35+11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1,03+08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1,08+14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3,60+10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1,43+07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3,27+04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7,04+08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 &lt;4&gt;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1,1+01 &lt;3&gt;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2,34+07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4,47+09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6,0+03 &lt;3&gt;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&lt;3&gt;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6,0+03 &lt;3&gt;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&lt;3&gt;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2,14+06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8,9+01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2,41+04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7,8+01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7,8+01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4,1+03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7,4+01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1,6+08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6,8+04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8,5+04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8,26+07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 + 03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1,56+07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Сохранены значения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, приведенные в настоящем нормативе, в связи с достигнутым уровнем безопасности на радиационных объектах. Эти значения ниже, чем значения, полученные с использованием дозовых коэффициентов из данного приложения.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&lt;2&gt; Классификация соединений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При поступлении изотопа K-40 дополнительно к природной смеси изотопов калия.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&lt;4&gt; Соответствует годовому пределу поступления урана, равного 500 мг в год и величина которого определяется химической токсичностью соединений урана.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3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дозовых коэффициентов ℇ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ℇ, мЗв/Бк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УВ, Бк/кг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ℇ, мЗв/Бк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УВ, Бк/кг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3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эквивалентных доз облучения и среднегодовых допустимых плотностей потока частиц при внешнем облучении лиц из персонала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04"/>
    <w:bookmarkStart w:name="z33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моноэнергетических электронов для лиц из персонала при облучении кожи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электронов,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&lt;2&gt;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(2) поле излучения.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09"/>
    <w:bookmarkStart w:name="z33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моноэнергетических электронов для лиц из персонала при облучении хрусталиков глаз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электронов,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хрусталике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ИЗO&lt;1&gt;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(2) поле излучения.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Флюенс частиц Ф – отношение dN/d, где dN – количество частиц, падающих на сферу с площадью поперечного сечения d: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потока частиц n – отношение dN/(d × dt), где dN – количество частиц, падающих на сферу с площадью поперечного сечения dза интервал времени dt: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16"/>
    <w:bookmarkStart w:name="z34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бета-частиц для лиц из персонала при контактном облучении кожи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энергия бета-спектра, МэВ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18"/>
    <w:bookmarkStart w:name="z34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эффективной дозы и среднегодовые допустимые плотности потока моноэнергетических фотонов для лиц из персонала при внешнем облучении всего тела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потока, ДППперс,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 в воздухе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(4) поле излучения.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Керма – отношение суммы начальных кинетических энергий dE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всех заряженных ионизирующих частиц, образовавшихся под действием косвенно ионизирующего излучения в элементарном объеме вещества, к массе dm вещества в этом объеме: K = dE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/dm, где: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кермы – грей (Гр).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Керма и поглощенная доза равны друг другу в той степени, с какой достигается равновесие заряженных частиц и с какой пренебрегаются тормозным излучением и ослаблением потока фотонов на пути пробега вторичных электронов.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26"/>
    <w:bookmarkStart w:name="z35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моноэнергетических фотонов для лиц из персонала при облучении кожи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ДППперс,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3,13+03</w:t>
            </w:r>
          </w:p>
        </w:tc>
      </w:tr>
    </w:tbl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(2) поле излучения.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31"/>
    <w:bookmarkStart w:name="z36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моноэнергетических фотонов для лиц из персонала при облучении хрусталиков глаз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хрусталике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1,10+03</w:t>
            </w:r>
          </w:p>
        </w:tc>
      </w:tr>
    </w:tbl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(4) поле излучения.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36"/>
    <w:bookmarkStart w:name="z36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эффективной дозы и среднегодовые допустимые плотности потока моноэнергетических нейтронов для лиц из персонала при внешнем облучении всего тела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нейтронов,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на единичный флюенс,10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потока,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нейтроны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</w:t>
            </w:r>
          </w:p>
        </w:tc>
      </w:tr>
    </w:tbl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(4) поле излучения.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переднезадней геометрии.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7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радиоактивного загрязнения поверхностей рабочих помещений и находящегося в них оборудования, кожных покровов, спецодежды, спецобуви и средств индивидуальной защиты персонала, част/(см2×мин)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нуклиды&lt;1&gt;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нуклиды&lt;1&gt;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отдельные&lt;2&gt;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прoчие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Неповрежденная кожа, специальное белье, полотенца, внутренняя поверхность лицевых частей средств индивидуальной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200&lt;3&gt;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спецодежда, внутренняя поверхность дополнительных средств индивидуальной защиты, наружная поверхность спец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помещений постоянного пребывания персонала и находящегося в них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помещений периодического пребывания персонала и находящегося в них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дополнительных средств индивидуальной защиты, снимаемых в сан шлюзах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Для кожных покровов, специальной одежды и обуви, средств индивидуальной защиты нормируется общее (снимаемое и неснимаемое) радиоактивное загрязнение. В остальных случаях нормируется только снимаемое загрязнение.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К отдельным относятся альфа-активные нуклиды, среднегодовая допустимая объемная активность которых в воздухе рабочих помещений ДОА меньше 0,3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для Sr-90 + Y-90 – 40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×мин).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7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снимаемого радиоактивного загрязнения поверхности транспортных средств, используемых для перевозки радиоактивных веществ и материалов, част/(см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×мин)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загрязнения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загрязнения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Снимаемое (нефиксированное)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Неснимаемое (фиксированное)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транспортного средства и охранной тары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&lt;3&gt;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&lt;1&gt;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поверхность охранной тары и наружная поверхность транспортного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&lt;3&gt;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3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7"/>
    <w:bookmarkStart w:name="z3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Для Sr-90 + Y-90 – 40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× мин).</w:t>
      </w:r>
    </w:p>
    <w:bookmarkEnd w:id="348"/>
    <w:bookmarkStart w:name="z3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Не допускается.</w:t>
      </w:r>
    </w:p>
    <w:bookmarkEnd w:id="349"/>
    <w:bookmarkStart w:name="z3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Не регламентируется.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8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 значимая удельная активность радионуклидов (МЗУА) и минимальная значимая активность (МЗА) радионуклидов для открытых и закрытых радионуклидных источников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52"/>
    <w:bookmarkStart w:name="z38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 значимые удельная активность и активность радионуклидов в помещении или на рабочем месте&lt;1&gt;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МЗУА, Бк/г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МЗА, Бк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 (2,03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 (1,01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 (4,9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 (69,1 минут)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 (15,89 минут)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 (5,76 cyт.)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 (10,4 минут)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 (9,01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 (12,6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 (34,2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 (24,4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 (5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 (12,7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 (64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 (15,8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 (1,75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 (1,2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 (3,1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Th-природный (включая Th-232)&lt;*&gt;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Протактиний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U-природный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Нептуний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 (22,5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 (l,15×10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Эйнштейний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</w:tbl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Звездочками &lt;*&gt; обозначены радионуклиды, которые приведены в условиях их равновесия с дочерними радионуклидами согласно таблице 2 приложения 21 к настоящему нормативу.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6"/>
    <w:bookmarkStart w:name="z38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Радионуклиды, которые находятся в равновесии с дочерними радионуклидами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Материнский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радионуклид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Kr-83m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 (0,776)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Ba-137m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 (0,241)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 (0,542)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Bi-210, Po-210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Po-218, Pb-214, Bi-214, Po-214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Rn-219, Po-215, Pb-211, Bi-211, Tl-207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Rn-220, Po-216, Pb-212, 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Rn-222, Po-218, Pb-214, Bi-214, Po-214, Pb-210, Bi-210, Po-210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Fr-221, At-217, Bi-213, Po-213 (0,978), Tl-209 (0,0216), Pb-209 (0,978)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Fr-223 (0,0138)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Ra-222, Rn-218, Po-214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Ra-224, Rn-220, Po-216, Pb-212, 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Ra-225, Ac-225, Fr-221, At-217, Bi-213, Po-213, Pb-209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Ra-228, Ac-228, Th-228, Ra-224, Rn-220, Po-216, Pb-212, Bi-212, Tl-208 (0.36), Po-212 (0.64)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Ra-228, Ac-228, Th-228, Ra-224, Rn-220, Po-216, Pb-212, 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Th-226, Ra-222, Rn-218, Po-214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Th-228, Ra-224, Rn-220, Po-216, Pb-212, 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Th-234, Pa-234m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Th-234, Pa-234m, U-234, Th-230, Ra-226, Rn-222, Po-218, Pb-214, Bi-214, Po-214, Pb-210, Bi-210, Po-210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9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опасности закрытых радионуклидных источников, используемых в деятельности организации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60"/>
    <w:bookmarkStart w:name="z39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опасности закрытых радионуклидных источников в зависимости от отношения А/D</w:t>
      </w:r>
      <w:r>
        <w:rPr>
          <w:rFonts w:ascii="Times New Roman"/>
          <w:b/>
          <w:i w:val="false"/>
          <w:color w:val="000000"/>
          <w:vertAlign w:val="subscript"/>
        </w:rPr>
        <w:t>ос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опасности закрытых радионуклидных источников, выбранная на основе отношения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Интервалы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&gt;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&gt;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&gt;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&gt;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МЗА</w:t>
            </w:r>
          </w:p>
        </w:tc>
      </w:tr>
    </w:tbl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А – текущая активность радиоактивного источника, Dос – пороговая активность. Пороговые значения активности для определения категории опасности для закрытых источников приведены в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64"/>
    <w:bookmarkStart w:name="z39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активности для определения категории опасности для закрытых радионуклидных источников (D</w:t>
      </w:r>
      <w:r>
        <w:rPr>
          <w:rFonts w:ascii="Times New Roman"/>
          <w:b/>
          <w:i w:val="false"/>
          <w:color w:val="000000"/>
          <w:vertAlign w:val="subscript"/>
        </w:rPr>
        <w:t>ос</w:t>
      </w:r>
      <w:r>
        <w:rPr>
          <w:rFonts w:ascii="Times New Roman"/>
          <w:b/>
          <w:i w:val="false"/>
          <w:color w:val="000000"/>
        </w:rPr>
        <w:t>)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Am-241/Ве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2,7E-02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Pu-239/Be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 (Rh-106)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 (Y-90)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1,9E-02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обогащение 10-20%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U, обогащение &gt;20 %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1,6E-02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40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радиоактивного загрязнения поверхности транспортных средств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загрязнения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 радиоактивного загрязнения, в частицах на квадратный сантиметр в минуту (част/(см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Снимаемое загрязнение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(нефиксированное)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Неснимаемое загрязнение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(фиксированное)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охранной тары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вагона-контейнера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поверхность охранной тары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транспортного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4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69"/>
    <w:bookmarkStart w:name="z4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Не допускается.</w:t>
      </w:r>
    </w:p>
    <w:bookmarkEnd w:id="370"/>
    <w:bookmarkStart w:name="z40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Не регламентируется.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40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Мощность эквивалентной дозы, используемая при проектировании защиты от внешнего ионизирующего излучения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облучаемых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облучения, ч/год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эквивалентной дозы, мкЗв/ч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постоянного пребывания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временного пребывания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организации и территория санитарно-защитной зоны, где находится персонал группы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 помещения и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40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работ с открытыми источниками ионизирующего излучения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 на рабочем месте, приведенная к группе А, Бк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41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удельные активности основных долгоживущих радионуклидов для неограниченного использования металлов после предварительной переплавки или переработки и изделий на основе этих металлов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удельная активность радионуклида (ДУА), кБк/кг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Ru-106+Rh-106m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Sb-125+Te-125m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Cs-137+Ba-137m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Sr-90+Y-90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U-природный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 &lt;*&gt;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 &lt;*&gt;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 &lt;*&gt;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U-238&lt;*&gt;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bookmarkStart w:name="z4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5"/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Данные для этих радиоизотопов урана приведены в условиях их равновесия с дочерними радионуклидами:</w:t>
      </w:r>
    </w:p>
    <w:bookmarkEnd w:id="376"/>
    <w:bookmarkStart w:name="z4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U-238 с Th-234 и Pa-234m;</w:t>
      </w:r>
    </w:p>
    <w:bookmarkEnd w:id="377"/>
    <w:bookmarkStart w:name="z4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U-235 с Th-231;</w:t>
      </w:r>
    </w:p>
    <w:bookmarkEnd w:id="378"/>
    <w:bookmarkStart w:name="z41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природного урана с Th-234, Pa-234m, U-234, Th-230, Ra-226, Rn-222, Po-218, Pb-214, Bi-214, Po-214, Pb-210, Bi-210, Po-210.</w:t>
      </w:r>
    </w:p>
    <w:bookmarkEnd w:id="3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