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71C9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4 мая 2024 года № 18 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11 января 2022 года № ҚР ДСМ-2 «Об утверждении Санитарных правил «Сан</w:t>
      </w:r>
      <w:r>
        <w:rPr>
          <w:rStyle w:val="s1"/>
        </w:rPr>
        <w:t>итарно-эпидемиологические требования к санитарно-защитным зонам объектов, являющихся объектами воздействия на среду обитания и здоровье человека»</w:t>
      </w:r>
    </w:p>
    <w:p w:rsidR="00000000" w:rsidRDefault="00CA71C9">
      <w:pPr>
        <w:pStyle w:val="pj"/>
      </w:pPr>
      <w:r>
        <w:rPr>
          <w:rStyle w:val="s0"/>
        </w:rPr>
        <w:t> </w:t>
      </w:r>
    </w:p>
    <w:p w:rsidR="00000000" w:rsidRDefault="00CA71C9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CA71C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11 января 2022 года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</w:t>
      </w:r>
      <w:r>
        <w:rPr>
          <w:rStyle w:val="s0"/>
        </w:rPr>
        <w:t>ду обитания и здоровье человека» (зарегистрирован в Реестре государственной регистрации нормативных правовых актов под № 26447) следующие изменения:</w:t>
      </w:r>
    </w:p>
    <w:p w:rsidR="00000000" w:rsidRDefault="00CA71C9">
      <w:pPr>
        <w:pStyle w:val="pj"/>
      </w:pPr>
      <w:r>
        <w:rPr>
          <w:rStyle w:val="s0"/>
        </w:rPr>
        <w:t>преамбулу приказа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«В соответствии с подпунктом 113) пункта 15 Положения о Ми</w:t>
      </w:r>
      <w:r>
        <w:rPr>
          <w:rStyle w:val="s0"/>
        </w:rPr>
        <w:t xml:space="preserve">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CA71C9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Санитарных правил</w:t>
        </w:r>
        <w:r>
          <w:rPr>
            <w:rStyle w:val="a4"/>
          </w:rPr>
          <w:t>ах</w:t>
        </w:r>
      </w:hyperlink>
      <w:r>
        <w:rPr>
          <w:rStyle w:val="s0"/>
        </w:rPr>
        <w:t xml:space="preserve">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человека», утвержденных указанным приказом:</w:t>
      </w:r>
    </w:p>
    <w:p w:rsidR="00000000" w:rsidRDefault="00CA71C9">
      <w:pPr>
        <w:pStyle w:val="pj"/>
      </w:pPr>
      <w:hyperlink r:id="rId9" w:anchor="sub_id=100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 (далее - Санитарные пр</w:t>
      </w:r>
      <w:r>
        <w:rPr>
          <w:rStyle w:val="s0"/>
        </w:rPr>
        <w:t>авила)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- Положение) и определяют санит</w:t>
      </w:r>
      <w:r>
        <w:rPr>
          <w:rStyle w:val="s0"/>
        </w:rPr>
        <w:t>арно-эпидемиологические требования к санитарно-защитным зонам (далее - СЗЗ) объектов, являющихся объектами (источниками) воздействия на среду обитания и здоровье человека (далее - объект).»;</w:t>
      </w:r>
    </w:p>
    <w:p w:rsidR="00000000" w:rsidRDefault="00CA71C9">
      <w:pPr>
        <w:pStyle w:val="pj"/>
      </w:pPr>
      <w:hyperlink r:id="rId10" w:anchor="sub_id=400" w:history="1">
        <w:r>
          <w:rPr>
            <w:rStyle w:val="a4"/>
          </w:rPr>
          <w:t>пункт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«4. СЗЗ устанавливается вокруг объектов, являющихся объектами (источниками) воздействия на среду обитания и здоровье человека, с целью обеспечения безопасности населения, размер которой обеспечивает ум</w:t>
      </w:r>
      <w:r>
        <w:rPr>
          <w:rStyle w:val="s0"/>
        </w:rPr>
        <w:t>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утверждаемых согласно подпункту 113) пункта 15 Положения (далее - гигиенические нормативы), а для объек</w:t>
      </w:r>
      <w:r>
        <w:rPr>
          <w:rStyle w:val="s0"/>
        </w:rPr>
        <w:t>тов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СЗЗ является защитным барьером, обеспечивающим уровень безопасности нас</w:t>
      </w:r>
      <w:r>
        <w:rPr>
          <w:rStyle w:val="s0"/>
        </w:rPr>
        <w:t>еления при эксплуатации объекта в штатном режиме.»;</w:t>
      </w:r>
    </w:p>
    <w:p w:rsidR="00000000" w:rsidRDefault="00CA71C9">
      <w:pPr>
        <w:pStyle w:val="pj"/>
      </w:pPr>
      <w:hyperlink r:id="rId11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«9. Предварительные (расчетные) размеры СЗЗ для новых, проектируемых и действующих о</w:t>
      </w:r>
      <w:r>
        <w:rPr>
          <w:rStyle w:val="s0"/>
        </w:rPr>
        <w:t>бъектов устанавливаются согласно приложению 1 к настоящим Санитарным правилам, с разработкой проектной документации по установлению СЗЗ.</w:t>
      </w:r>
    </w:p>
    <w:p w:rsidR="00000000" w:rsidRDefault="00CA71C9">
      <w:pPr>
        <w:pStyle w:val="pj"/>
      </w:pPr>
      <w:r>
        <w:rPr>
          <w:rStyle w:val="s0"/>
        </w:rPr>
        <w:t xml:space="preserve">Для действующих объектов ввиду исторически сложившейся застройки допускается уменьшение размеров СЗЗ, в соответствии с </w:t>
      </w:r>
      <w:r>
        <w:rPr>
          <w:rStyle w:val="s0"/>
        </w:rPr>
        <w:t>пунктом 26 настоящих Санитарных правил, без установления предварительных (расчетных) размеров СЗЗ.</w:t>
      </w:r>
    </w:p>
    <w:p w:rsidR="00000000" w:rsidRDefault="00CA71C9">
      <w:pPr>
        <w:pStyle w:val="pj"/>
      </w:pPr>
      <w:r>
        <w:rPr>
          <w:rStyle w:val="s0"/>
        </w:rPr>
        <w:t>Расчетные размеры СЗЗ для объектов, не включенных в приложение 1 к настоящим Санитарным правилам устанавливаются расчетным методом, на основании проектной до</w:t>
      </w:r>
      <w:r>
        <w:rPr>
          <w:rStyle w:val="s0"/>
        </w:rPr>
        <w:t>кументации, с расчетами рассеивания загрязнения атмосферного воздуха и уровней физического воздействия на атмосферный воздух (шум, вибрация, ЭМП) и оценкой риска для жизни и здоровья населения (для объектов I и II класса опасности).</w:t>
      </w:r>
    </w:p>
    <w:p w:rsidR="00000000" w:rsidRDefault="00CA71C9">
      <w:pPr>
        <w:pStyle w:val="pj"/>
      </w:pPr>
      <w:r>
        <w:rPr>
          <w:rStyle w:val="s0"/>
        </w:rPr>
        <w:t>Установленная (окончате</w:t>
      </w:r>
      <w:r>
        <w:rPr>
          <w:rStyle w:val="s0"/>
        </w:rPr>
        <w:t>льная) СЗЗ, определяется на основании годичного цикла натурных исследований для подтверждения расчетных параметров (ежеквартально по приоритетным показателям, в зависимости от специфики производственной деятельности на соответствие по среднесуточным и макс</w:t>
      </w:r>
      <w:r>
        <w:rPr>
          <w:rStyle w:val="s0"/>
        </w:rPr>
        <w:t>имально-разовым концентрациям) и уровням физического воздействия (шум, вибрация, ЭМП, при наличии источника) на границе СЗЗ объекта и за его пределами (ежеквартально) в течении года, с получением санитарно-эпидемиологического заключения.</w:t>
      </w:r>
    </w:p>
    <w:p w:rsidR="00000000" w:rsidRDefault="00CA71C9">
      <w:pPr>
        <w:pStyle w:val="pj"/>
      </w:pPr>
      <w:r>
        <w:rPr>
          <w:rStyle w:val="s0"/>
        </w:rPr>
        <w:t>В срок не более од</w:t>
      </w:r>
      <w:r>
        <w:rPr>
          <w:rStyle w:val="s0"/>
        </w:rPr>
        <w:t>ного года со дня ввода объекта в эксплуатацию, хозяйствующий субъект соответствующего объекта обеспечивает проведение исследований (измерений) атмосферного воздуха, уровней физического и (или) биологического воздействия на атмосферный воздух для подтвержде</w:t>
      </w:r>
      <w:r>
        <w:rPr>
          <w:rStyle w:val="s0"/>
        </w:rPr>
        <w:t>ния предварительного (расчетного) СЗЗ.»;</w:t>
      </w:r>
    </w:p>
    <w:p w:rsidR="00000000" w:rsidRDefault="00CA71C9">
      <w:pPr>
        <w:pStyle w:val="pj"/>
      </w:pPr>
      <w:hyperlink r:id="rId12" w:anchor="sub_id=1100" w:history="1">
        <w:r>
          <w:rPr>
            <w:rStyle w:val="a4"/>
          </w:rPr>
          <w:t>пункты 11, 12 и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«11. Критерием для определения размера СЗЗ является одновременное соблюдение следую</w:t>
      </w:r>
      <w:r>
        <w:rPr>
          <w:rStyle w:val="s0"/>
        </w:rPr>
        <w:t>щих условий: не превышение на ее внешней границе и за ее пределами концентрации загрязняющих веществ ПДК по максимально разовым и среднесуточным показателям или ориентировочный безопасный уровень воздействия (далее - ОБУВ) для атмосферного воздуха населенн</w:t>
      </w:r>
      <w:r>
        <w:rPr>
          <w:rStyle w:val="s0"/>
        </w:rPr>
        <w:t>ых мест и (или) ПДУ физического воздействия, а также результаты оценки риска для жизни и здоровья населения (для объектов I и II класса опасности).</w:t>
      </w:r>
    </w:p>
    <w:p w:rsidR="00000000" w:rsidRDefault="00CA71C9">
      <w:pPr>
        <w:pStyle w:val="pj"/>
      </w:pPr>
      <w:r>
        <w:rPr>
          <w:rStyle w:val="s0"/>
        </w:rPr>
        <w:t>12. Объекты, являющиеся источниками воздействия на среду обитания и здоровье человека, отделяются СЗЗ от про</w:t>
      </w:r>
      <w:r>
        <w:rPr>
          <w:rStyle w:val="s0"/>
        </w:rPr>
        <w:t>изводственного объекта до жилой застройки, ландшафтно-рекреационных зон, площадей (зон) отдыха, территорий курортов, санаториев, домов отдыха, стационарных лечебно-профилактических и оздоровительных организаций, спортивных организаций, детских площадок, об</w:t>
      </w:r>
      <w:r>
        <w:rPr>
          <w:rStyle w:val="s0"/>
        </w:rPr>
        <w:t>разовательных и детских организаций, территорий садоводческих товариществ и коттеджной застройки, коллективных или индивидуальных дачных и садово-огородных участков.</w:t>
      </w:r>
    </w:p>
    <w:p w:rsidR="00000000" w:rsidRDefault="00CA71C9">
      <w:pPr>
        <w:pStyle w:val="pj"/>
      </w:pPr>
      <w:r>
        <w:rPr>
          <w:rStyle w:val="s0"/>
        </w:rPr>
        <w:t>13. Для автомагистралей, линий железнодорожного транспорта, наземных участков метрополитен</w:t>
      </w:r>
      <w:r>
        <w:rPr>
          <w:rStyle w:val="s0"/>
        </w:rPr>
        <w:t xml:space="preserve">а, а также вдоль стандартных маршрутов полета в зоне взлета и посадки воздушных судов, запусков космических аппаратов от проекции на поверхность земли устанавливается расстояние от объекта, которое имеет режим СЗЗ и обеспечивающее снижение от химического, </w:t>
      </w:r>
      <w:r>
        <w:rPr>
          <w:rStyle w:val="s0"/>
        </w:rPr>
        <w:t>биологического и физического воздействия до значений установленных гигиеническими нормативами (далее - санитарный разрыв).</w:t>
      </w:r>
    </w:p>
    <w:p w:rsidR="00000000" w:rsidRDefault="00CA71C9">
      <w:pPr>
        <w:pStyle w:val="pj"/>
      </w:pPr>
      <w:r>
        <w:rPr>
          <w:rStyle w:val="s0"/>
        </w:rPr>
        <w:t>Величина санитарных разрывов устанавливается в каждом конкретном случае на основании расчетов рассеивания выбросов загрязняющих вещес</w:t>
      </w:r>
      <w:r>
        <w:rPr>
          <w:rStyle w:val="s0"/>
        </w:rPr>
        <w:t>тв в атмосферный воздух и уровней физического воздействия (шума, вибрации, ЭМП и другие физические факторы).</w:t>
      </w:r>
    </w:p>
    <w:p w:rsidR="00000000" w:rsidRDefault="00CA71C9">
      <w:pPr>
        <w:pStyle w:val="pj"/>
      </w:pPr>
      <w:r>
        <w:rPr>
          <w:rStyle w:val="s0"/>
        </w:rPr>
        <w:t>При установлении санитарного разрыва, в том числе для объектов, указанных в приложениях 2-8 настоящих Санитарных правил не требуется разработка про</w:t>
      </w:r>
      <w:r>
        <w:rPr>
          <w:rStyle w:val="s0"/>
        </w:rPr>
        <w:t>екта обоснования санитарного разрыва, за исключением санитарных разрывов вдоль стандартных маршрутов полета в зоне взлета и посадки воздушных судов, запусков космических аппаратов (санитарный разрыв устанавливается последовательно, в соответствии с требова</w:t>
      </w:r>
      <w:r>
        <w:rPr>
          <w:rStyle w:val="s0"/>
        </w:rPr>
        <w:t>ниями, указанными в пункте 9 настоящих Санитарных правил).»;</w:t>
      </w:r>
    </w:p>
    <w:p w:rsidR="00000000" w:rsidRDefault="00CA71C9">
      <w:pPr>
        <w:pStyle w:val="pj"/>
      </w:pPr>
      <w:hyperlink r:id="rId13" w:anchor="sub_id=2600" w:history="1">
        <w:r>
          <w:rPr>
            <w:rStyle w:val="a4"/>
          </w:rPr>
          <w:t>пункт 26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«26. Изменение (увеличение, уменьшение) размеров СЗЗ для действующих объе</w:t>
      </w:r>
      <w:r>
        <w:rPr>
          <w:rStyle w:val="s0"/>
        </w:rPr>
        <w:t>ктов осуществляется путем получения санитарно-эпидемиологического заключения на проект СЗЗ, разработанного согласно требованиям к составу проекта СЗЗ определенных приложением 9 к настоящим Санитарным правилам и на основании:</w:t>
      </w:r>
    </w:p>
    <w:p w:rsidR="00000000" w:rsidRDefault="00CA71C9">
      <w:pPr>
        <w:pStyle w:val="pj"/>
      </w:pPr>
      <w:r>
        <w:rPr>
          <w:rStyle w:val="s0"/>
        </w:rPr>
        <w:t>1) объективных доказательств до</w:t>
      </w:r>
      <w:r>
        <w:rPr>
          <w:rStyle w:val="s0"/>
        </w:rPr>
        <w:t xml:space="preserve">стижения уровня химического, биологического загрязнения атмосферного воздуха на атмосферный воздух до ПДК на границе СЗЗ и за ее пределами по материалам систематических лабораторных наблюдений в течении года на соответствие показателей по среднесуточным и </w:t>
      </w:r>
      <w:r>
        <w:rPr>
          <w:rStyle w:val="s0"/>
        </w:rPr>
        <w:t>максимально-разовым концентрациям (не менее пятидесяти дней исследований на каждый ингредиент в отдельной точке) по приоритетным показателям, в зависимости от специфики производственной деятельности;</w:t>
      </w:r>
    </w:p>
    <w:p w:rsidR="00000000" w:rsidRDefault="00CA71C9">
      <w:pPr>
        <w:pStyle w:val="pj"/>
      </w:pPr>
      <w:r>
        <w:rPr>
          <w:rStyle w:val="s0"/>
        </w:rPr>
        <w:t>2) объективных доказательств достижения уровня физическо</w:t>
      </w:r>
      <w:r>
        <w:rPr>
          <w:rStyle w:val="s0"/>
        </w:rPr>
        <w:t>го воздействия соблюдения уровней физического воздействия до ПДУ (шум, вибрация, ЭМП) по материалам лабораторных наблюдений на границе СЗЗ объекта и за его пределами на ежеквартальной основе в течении года;</w:t>
      </w:r>
    </w:p>
    <w:p w:rsidR="00000000" w:rsidRDefault="00CA71C9">
      <w:pPr>
        <w:pStyle w:val="pj"/>
      </w:pPr>
      <w:r>
        <w:rPr>
          <w:rStyle w:val="s0"/>
        </w:rPr>
        <w:t>3) для объектов I и II классов опасности проведение оценки риска для жизни и здоровья населения;</w:t>
      </w:r>
    </w:p>
    <w:p w:rsidR="00000000" w:rsidRDefault="00CA71C9">
      <w:pPr>
        <w:pStyle w:val="pj"/>
      </w:pPr>
      <w:r>
        <w:rPr>
          <w:rStyle w:val="s0"/>
        </w:rPr>
        <w:t>4) учета фоновых концентраций на соответствующей административно-территориальной единице (при наличии автоматизированных станций мониторинга атмосферного возду</w:t>
      </w:r>
      <w:r>
        <w:rPr>
          <w:rStyle w:val="s0"/>
        </w:rPr>
        <w:t>ха в данной местности);</w:t>
      </w:r>
    </w:p>
    <w:p w:rsidR="00000000" w:rsidRDefault="00CA71C9">
      <w:pPr>
        <w:pStyle w:val="pj"/>
      </w:pPr>
      <w:r>
        <w:rPr>
          <w:rStyle w:val="s0"/>
        </w:rPr>
        <w:t>5) изменения состава и перепрофилирования объектов;</w:t>
      </w:r>
    </w:p>
    <w:p w:rsidR="00000000" w:rsidRDefault="00CA71C9">
      <w:pPr>
        <w:pStyle w:val="pj"/>
      </w:pPr>
      <w:r>
        <w:rPr>
          <w:rStyle w:val="s0"/>
        </w:rPr>
        <w:t>6) использования наилучших доступных техник, внедрения передовых технологических решений, эффективных очистных сооружений и других, направленных на сокращение уровней воздействия на среду обитания.</w:t>
      </w:r>
    </w:p>
    <w:p w:rsidR="00000000" w:rsidRDefault="00CA71C9">
      <w:pPr>
        <w:pStyle w:val="pj"/>
      </w:pPr>
      <w:r>
        <w:rPr>
          <w:rStyle w:val="s0"/>
        </w:rPr>
        <w:t>Действующим объектом, подлежащим изменению СЗЗ является об</w:t>
      </w:r>
      <w:r>
        <w:rPr>
          <w:rStyle w:val="s0"/>
        </w:rPr>
        <w:t>ъект, функционирующий более 1 года.»;</w:t>
      </w:r>
    </w:p>
    <w:p w:rsidR="00000000" w:rsidRDefault="00CA71C9">
      <w:pPr>
        <w:pStyle w:val="pj"/>
      </w:pPr>
      <w:hyperlink r:id="rId14" w:anchor="sub_id=2900" w:history="1">
        <w:r>
          <w:rPr>
            <w:rStyle w:val="a4"/>
          </w:rPr>
          <w:t>пункты 29 и 30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 xml:space="preserve">«29. СЗЗ для действующих объектов I и II классов опасности, для объектов, не включенных в </w:t>
      </w:r>
      <w:r>
        <w:rPr>
          <w:rStyle w:val="s0"/>
        </w:rPr>
        <w:t>приложение 1 к настоящим Санитарным правилам, в том числе с новыми, недостаточно изученными технологиями, не имеющими аналогов в стране и за рубежом устанавливается Главными государственными санитарными врачами на соответствующих территориях и транспорте (</w:t>
      </w:r>
      <w:r>
        <w:rPr>
          <w:rStyle w:val="s0"/>
        </w:rPr>
        <w:t>области, города республиканского значения, столицы) или его заместителями, а также должностными лицами структурных подразделений Министерства обороны Республики Казахстан, органов национальной безопасности и внутренних дел, осуществляющими деятельность в с</w:t>
      </w:r>
      <w:r>
        <w:rPr>
          <w:rStyle w:val="s0"/>
        </w:rPr>
        <w:t>фере санитарно-эпидемиологического благополучия населения (далее - должностные лица, осуществляющие деятельность в сфере санитарно-эпидемиологического благополучия населения).</w:t>
      </w:r>
    </w:p>
    <w:p w:rsidR="00000000" w:rsidRDefault="00CA71C9">
      <w:pPr>
        <w:pStyle w:val="pj"/>
      </w:pPr>
      <w:r>
        <w:rPr>
          <w:rStyle w:val="s0"/>
        </w:rPr>
        <w:t>СЗЗ для действующих объектов III, IV и V классов опасности устанавливается Главн</w:t>
      </w:r>
      <w:r>
        <w:rPr>
          <w:rStyle w:val="s0"/>
        </w:rPr>
        <w:t>ыми государственными санитарными врачами на соответствующих территориях и транспорте (района и города) или его заместителями, а также должностными лицами, осуществляющими деятельность в сфере санитарно-эпидемиологического благополучия населения.</w:t>
      </w:r>
    </w:p>
    <w:p w:rsidR="00000000" w:rsidRDefault="00CA71C9">
      <w:pPr>
        <w:pStyle w:val="pj"/>
      </w:pPr>
      <w:r>
        <w:rPr>
          <w:rStyle w:val="s0"/>
        </w:rPr>
        <w:t>Предварите</w:t>
      </w:r>
      <w:r>
        <w:rPr>
          <w:rStyle w:val="s0"/>
        </w:rPr>
        <w:t>льная (расчетная) СЗЗ для проектируемых объектов устанавливается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 в составе комплексной вневедомственн</w:t>
      </w:r>
      <w:r>
        <w:rPr>
          <w:rStyle w:val="s0"/>
        </w:rPr>
        <w:t>ой экспертизы.</w:t>
      </w:r>
    </w:p>
    <w:p w:rsidR="00000000" w:rsidRDefault="00CA71C9">
      <w:pPr>
        <w:pStyle w:val="pj"/>
      </w:pPr>
      <w:r>
        <w:rPr>
          <w:rStyle w:val="s0"/>
        </w:rPr>
        <w:t>30. Изменение размеров СЗЗ для действующих объектов I, II, III, IV и V класса опасности осуществляется Главными государственными санитарными врачами на соответствующих территориях и транспорте (области, города республиканского значения, стол</w:t>
      </w:r>
      <w:r>
        <w:rPr>
          <w:rStyle w:val="s0"/>
        </w:rPr>
        <w:t>ицы) или его заместителями, а также должностными лицами, осуществляющими деятельность в сфере санитарно-эпидемиологического благополучия населения.»;</w:t>
      </w:r>
    </w:p>
    <w:p w:rsidR="00000000" w:rsidRDefault="00CA71C9">
      <w:pPr>
        <w:pStyle w:val="pj"/>
      </w:pPr>
      <w:hyperlink r:id="rId15" w:anchor="sub_id=3300" w:history="1">
        <w:r>
          <w:rPr>
            <w:rStyle w:val="a4"/>
          </w:rPr>
          <w:t>пункт 33</w:t>
        </w:r>
      </w:hyperlink>
      <w:r>
        <w:rPr>
          <w:rStyle w:val="s0"/>
        </w:rPr>
        <w:t xml:space="preserve"> изложить в след</w:t>
      </w:r>
      <w:r>
        <w:rPr>
          <w:rStyle w:val="s0"/>
        </w:rPr>
        <w:t>ующей редакции:</w:t>
      </w:r>
    </w:p>
    <w:p w:rsidR="00000000" w:rsidRDefault="00CA71C9">
      <w:pPr>
        <w:pStyle w:val="pj"/>
      </w:pPr>
      <w:r>
        <w:rPr>
          <w:rStyle w:val="s0"/>
        </w:rPr>
        <w:t>«33. В целях защиты населения от воздействия электрического поля, создаваемого ВЛЭ устанавливается санитарный разрыв вдоль трассы высоковольтной линии, за пределами которого напряженность электрического поля не превышает 1 киловольт на метр</w:t>
      </w:r>
      <w:r>
        <w:rPr>
          <w:rStyle w:val="s0"/>
        </w:rPr>
        <w:t xml:space="preserve"> (кВ/м).</w:t>
      </w:r>
    </w:p>
    <w:p w:rsidR="00000000" w:rsidRDefault="00CA71C9">
      <w:pPr>
        <w:pStyle w:val="pj"/>
      </w:pPr>
      <w:r>
        <w:rPr>
          <w:rStyle w:val="s0"/>
        </w:rPr>
        <w:t>Для вновь проектируемых ВЛЭ, а также зданий и сооружений принимаются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</w:t>
      </w:r>
      <w:r>
        <w:rPr>
          <w:rStyle w:val="s0"/>
        </w:rPr>
        <w:t>асстояниях от проекции на землю крайних фазных проводов в направлении, перпендикулярном к ВЛЭ:</w:t>
      </w:r>
    </w:p>
    <w:p w:rsidR="00000000" w:rsidRDefault="00CA71C9">
      <w:pPr>
        <w:pStyle w:val="pj"/>
      </w:pPr>
      <w:r>
        <w:rPr>
          <w:rStyle w:val="s0"/>
        </w:rPr>
        <w:t>1) 25 м - для ВЛЭ напряжением 220 киловольт (далее - кВ) включительно;</w:t>
      </w:r>
    </w:p>
    <w:p w:rsidR="00000000" w:rsidRDefault="00CA71C9">
      <w:pPr>
        <w:pStyle w:val="pj"/>
      </w:pPr>
      <w:r>
        <w:rPr>
          <w:rStyle w:val="s0"/>
        </w:rPr>
        <w:t>2) 30 м - для ВЛЭ напряжением 500 кВ включительно;</w:t>
      </w:r>
    </w:p>
    <w:p w:rsidR="00000000" w:rsidRDefault="00CA71C9">
      <w:pPr>
        <w:pStyle w:val="pj"/>
      </w:pPr>
      <w:r>
        <w:rPr>
          <w:rStyle w:val="s0"/>
        </w:rPr>
        <w:t>3) 40 м - для ВЛЭ напряжением 750 кВ вк</w:t>
      </w:r>
      <w:r>
        <w:rPr>
          <w:rStyle w:val="s0"/>
        </w:rPr>
        <w:t>лючительно;</w:t>
      </w:r>
    </w:p>
    <w:p w:rsidR="00000000" w:rsidRDefault="00CA71C9">
      <w:pPr>
        <w:pStyle w:val="pj"/>
      </w:pPr>
      <w:r>
        <w:rPr>
          <w:rStyle w:val="s0"/>
        </w:rPr>
        <w:t>4) 55 м - для ВЛЭ напряжением 1150 кВ включительно»;</w:t>
      </w:r>
    </w:p>
    <w:p w:rsidR="00000000" w:rsidRDefault="00CA71C9">
      <w:pPr>
        <w:pStyle w:val="pj"/>
      </w:pPr>
      <w:hyperlink r:id="rId16" w:anchor="sub_id=3500" w:history="1">
        <w:r>
          <w:rPr>
            <w:rStyle w:val="a4"/>
          </w:rPr>
          <w:t>Пункт 35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пункт 35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«35. Установление и изменение</w:t>
      </w:r>
      <w:r>
        <w:rPr>
          <w:rStyle w:val="s0"/>
        </w:rPr>
        <w:t xml:space="preserve"> размера СЗЗ в местах размещения передающих радиотехнических объектов проводится в соответствии с санитарно-эпидемиологическими требованиями к радиотехническим объектам, утверждаемыми согласно подпункту 113) пункта 15 Положения.»;</w:t>
      </w:r>
    </w:p>
    <w:p w:rsidR="00000000" w:rsidRDefault="00CA71C9">
      <w:pPr>
        <w:pStyle w:val="pj"/>
      </w:pPr>
      <w:hyperlink r:id="rId17" w:anchor="sub_id=4800" w:history="1">
        <w:r>
          <w:rPr>
            <w:rStyle w:val="a4"/>
          </w:rPr>
          <w:t>пункт 48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«48. В границах СЗЗ объектов (в том числе территории объекта, от которого устанавливается СЗЗ) размещаются здания и сооружения для обслуживания работников объе</w:t>
      </w:r>
      <w:r>
        <w:rPr>
          <w:rStyle w:val="s0"/>
        </w:rPr>
        <w:t>кта и для обеспечения его деятельности, указанные в пункте 47 настоящих Санитарных правил, за исключением:</w:t>
      </w:r>
    </w:p>
    <w:p w:rsidR="00000000" w:rsidRDefault="00CA71C9">
      <w:pPr>
        <w:pStyle w:val="pj"/>
      </w:pPr>
      <w:r>
        <w:rPr>
          <w:rStyle w:val="s0"/>
        </w:rPr>
        <w:t>1) жилые здания, включая вновь строящуюся жилую застройку;</w:t>
      </w:r>
    </w:p>
    <w:p w:rsidR="00000000" w:rsidRDefault="00CA71C9">
      <w:pPr>
        <w:pStyle w:val="pj"/>
      </w:pPr>
      <w:r>
        <w:rPr>
          <w:rStyle w:val="s0"/>
        </w:rPr>
        <w:t xml:space="preserve">2) ландшафтно-рекреационные зоны, площадки (зоны) отдыха, территории курортов, санаториев </w:t>
      </w:r>
      <w:r>
        <w:rPr>
          <w:rStyle w:val="s0"/>
        </w:rPr>
        <w:t>и домов отдыха;</w:t>
      </w:r>
    </w:p>
    <w:p w:rsidR="00000000" w:rsidRDefault="00CA71C9">
      <w:pPr>
        <w:pStyle w:val="pj"/>
      </w:pPr>
      <w:r>
        <w:rPr>
          <w:rStyle w:val="s0"/>
        </w:rPr>
        <w:t>3) создаваемые и организующиеся территории садоводческих товариществ и коттеджной застройки, коллективных или индивидуальных дачных и садово-огородных участков;</w:t>
      </w:r>
    </w:p>
    <w:p w:rsidR="00000000" w:rsidRDefault="00CA71C9">
      <w:pPr>
        <w:pStyle w:val="pj"/>
      </w:pPr>
      <w:r>
        <w:rPr>
          <w:rStyle w:val="s0"/>
        </w:rPr>
        <w:t>4) спортивные сооружения, детские площадки, образовательные и детские организац</w:t>
      </w:r>
      <w:r>
        <w:rPr>
          <w:rStyle w:val="s0"/>
        </w:rPr>
        <w:t>ии, лечебно-профилактические и оздоровительные организации общего пользования;</w:t>
      </w:r>
    </w:p>
    <w:p w:rsidR="00000000" w:rsidRDefault="00CA71C9">
      <w:pPr>
        <w:pStyle w:val="pj"/>
      </w:pPr>
      <w:r>
        <w:rPr>
          <w:rStyle w:val="s0"/>
        </w:rPr>
        <w:t>5) объекты по выращиванию сельскохозяйственных культур, используемых в качестве продуктов питания.»;</w:t>
      </w:r>
    </w:p>
    <w:p w:rsidR="00000000" w:rsidRDefault="00CA71C9">
      <w:pPr>
        <w:pStyle w:val="pj"/>
      </w:pPr>
      <w:r>
        <w:rPr>
          <w:rStyle w:val="s0"/>
        </w:rPr>
        <w:t xml:space="preserve">в </w:t>
      </w:r>
      <w:hyperlink r:id="rId18" w:anchor="sub_id=1" w:history="1">
        <w:r>
          <w:rPr>
            <w:rStyle w:val="a4"/>
          </w:rPr>
          <w:t>приложении 1</w:t>
        </w:r>
      </w:hyperlink>
      <w:r>
        <w:rPr>
          <w:rStyle w:val="s0"/>
        </w:rPr>
        <w:t xml:space="preserve"> к Санитарным правилам:</w:t>
      </w:r>
    </w:p>
    <w:p w:rsidR="00000000" w:rsidRDefault="00CA71C9">
      <w:pPr>
        <w:pStyle w:val="pj"/>
      </w:pPr>
      <w:r>
        <w:rPr>
          <w:rStyle w:val="s0"/>
        </w:rPr>
        <w:t>пункт 40 раздела 10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«40. Класс I - СЗЗ 1000 м:</w:t>
      </w:r>
    </w:p>
    <w:p w:rsidR="00000000" w:rsidRDefault="00CA71C9">
      <w:pPr>
        <w:pStyle w:val="pj"/>
      </w:pPr>
      <w:r>
        <w:rPr>
          <w:rStyle w:val="s0"/>
        </w:rPr>
        <w:t>1) хозяйства по выращиванию свиней от 100 до 5000 голов и выше;</w:t>
      </w:r>
    </w:p>
    <w:p w:rsidR="00000000" w:rsidRDefault="00CA71C9">
      <w:pPr>
        <w:pStyle w:val="pj"/>
      </w:pPr>
      <w:r>
        <w:rPr>
          <w:rStyle w:val="s0"/>
        </w:rPr>
        <w:t>2) хозяйства по выращиванию птицы более 400000 кур-несушек и более 300000</w:t>
      </w:r>
      <w:r>
        <w:rPr>
          <w:rStyle w:val="s0"/>
        </w:rPr>
        <w:t>0 бройлеров в год;</w:t>
      </w:r>
    </w:p>
    <w:p w:rsidR="00000000" w:rsidRDefault="00CA71C9">
      <w:pPr>
        <w:pStyle w:val="pj"/>
      </w:pPr>
      <w:r>
        <w:rPr>
          <w:rStyle w:val="s0"/>
        </w:rPr>
        <w:t>3) хозяйства по выращиванию и откорму крупного рогатого скота более 5000 голов;</w:t>
      </w:r>
    </w:p>
    <w:p w:rsidR="00000000" w:rsidRDefault="00CA71C9">
      <w:pPr>
        <w:pStyle w:val="pj"/>
      </w:pPr>
      <w:r>
        <w:rPr>
          <w:rStyle w:val="s0"/>
        </w:rPr>
        <w:t>4) открытые хранилища навоза и помета;</w:t>
      </w:r>
    </w:p>
    <w:p w:rsidR="00000000" w:rsidRDefault="00CA71C9">
      <w:pPr>
        <w:pStyle w:val="pj"/>
      </w:pPr>
      <w:r>
        <w:rPr>
          <w:rStyle w:val="s0"/>
        </w:rPr>
        <w:t>5) склады для хранения минеральных удобрений, пестицидов, сильнодействующих ядовитых веществ 500 и более тонн в год.»;</w:t>
      </w:r>
    </w:p>
    <w:p w:rsidR="00000000" w:rsidRDefault="00CA71C9">
      <w:pPr>
        <w:pStyle w:val="pj"/>
      </w:pPr>
      <w:r>
        <w:rPr>
          <w:rStyle w:val="s0"/>
        </w:rPr>
        <w:t>пункт 42 раздела 10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«42. Класс III - СЗЗ 300 м:</w:t>
      </w:r>
    </w:p>
    <w:p w:rsidR="00000000" w:rsidRDefault="00CA71C9">
      <w:pPr>
        <w:pStyle w:val="pj"/>
      </w:pPr>
      <w:r>
        <w:rPr>
          <w:rStyle w:val="s0"/>
        </w:rPr>
        <w:t>1) хозяйство по выращиванию и откорму крупного рогатого скота до 1200 голов (всех специализаций), фермы коневодческие;</w:t>
      </w:r>
    </w:p>
    <w:p w:rsidR="00000000" w:rsidRDefault="00CA71C9">
      <w:pPr>
        <w:pStyle w:val="pj"/>
      </w:pPr>
      <w:r>
        <w:rPr>
          <w:rStyle w:val="s0"/>
        </w:rPr>
        <w:t>2) хозяйства с содержанием животных (свинарники, зверофер</w:t>
      </w:r>
      <w:r>
        <w:rPr>
          <w:rStyle w:val="s0"/>
        </w:rPr>
        <w:t>мы) от 50 до 100 голов;</w:t>
      </w:r>
    </w:p>
    <w:p w:rsidR="00000000" w:rsidRDefault="00CA71C9">
      <w:pPr>
        <w:pStyle w:val="pj"/>
      </w:pPr>
      <w:r>
        <w:rPr>
          <w:rStyle w:val="s0"/>
        </w:rPr>
        <w:t>3) хозяйство по выращиванию и откорму овец от 3000 до 5000 голов;</w:t>
      </w:r>
    </w:p>
    <w:p w:rsidR="00000000" w:rsidRDefault="00CA71C9">
      <w:pPr>
        <w:pStyle w:val="pj"/>
      </w:pPr>
      <w:r>
        <w:rPr>
          <w:rStyle w:val="s0"/>
        </w:rPr>
        <w:t>4) хозяйство по выращиванию птицы до 100000 кур-несушек и до 1000000 бройлеров;</w:t>
      </w:r>
    </w:p>
    <w:p w:rsidR="00000000" w:rsidRDefault="00CA71C9">
      <w:pPr>
        <w:pStyle w:val="pj"/>
      </w:pPr>
      <w:r>
        <w:rPr>
          <w:rStyle w:val="s0"/>
        </w:rPr>
        <w:t>5) площадки для буртования помета и навоза;</w:t>
      </w:r>
    </w:p>
    <w:p w:rsidR="00000000" w:rsidRDefault="00CA71C9">
      <w:pPr>
        <w:pStyle w:val="pj"/>
      </w:pPr>
      <w:r>
        <w:rPr>
          <w:rStyle w:val="s0"/>
        </w:rPr>
        <w:t>6) склады для хранения минеральных удобрен</w:t>
      </w:r>
      <w:r>
        <w:rPr>
          <w:rStyle w:val="s0"/>
        </w:rPr>
        <w:t>ий, пестицидов, сильнодействующих ядовитых веществ 50 и более тонн в год;</w:t>
      </w:r>
    </w:p>
    <w:p w:rsidR="00000000" w:rsidRDefault="00CA71C9">
      <w:pPr>
        <w:pStyle w:val="pj"/>
      </w:pPr>
      <w:r>
        <w:rPr>
          <w:rStyle w:val="s0"/>
        </w:rPr>
        <w:t>7) обработка сельскохозяйственных угодий пестицидами с применением тракторов от границ поля до населенного пункта;</w:t>
      </w:r>
    </w:p>
    <w:p w:rsidR="00000000" w:rsidRDefault="00CA71C9">
      <w:pPr>
        <w:pStyle w:val="pj"/>
      </w:pPr>
      <w:r>
        <w:rPr>
          <w:rStyle w:val="s0"/>
        </w:rPr>
        <w:t>8) кролиководческие фермы;</w:t>
      </w:r>
    </w:p>
    <w:p w:rsidR="00000000" w:rsidRDefault="00CA71C9">
      <w:pPr>
        <w:pStyle w:val="pj"/>
      </w:pPr>
      <w:r>
        <w:rPr>
          <w:rStyle w:val="s0"/>
        </w:rPr>
        <w:t>9) объекты по реализации сельскохозяйств</w:t>
      </w:r>
      <w:r>
        <w:rPr>
          <w:rStyle w:val="s0"/>
        </w:rPr>
        <w:t>енных животных.»;</w:t>
      </w:r>
    </w:p>
    <w:p w:rsidR="00000000" w:rsidRDefault="00CA71C9">
      <w:pPr>
        <w:pStyle w:val="pj"/>
      </w:pPr>
      <w:r>
        <w:rPr>
          <w:rStyle w:val="s0"/>
        </w:rPr>
        <w:t>пункт 43 раздела 10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«43. Класс IV - СЗЗ 100 м:</w:t>
      </w:r>
    </w:p>
    <w:p w:rsidR="00000000" w:rsidRDefault="00CA71C9">
      <w:pPr>
        <w:pStyle w:val="pj"/>
      </w:pPr>
      <w:r>
        <w:rPr>
          <w:rStyle w:val="s0"/>
        </w:rPr>
        <w:t>1) тепличные и парниковые хозяйства;</w:t>
      </w:r>
    </w:p>
    <w:p w:rsidR="00000000" w:rsidRDefault="00CA71C9">
      <w:pPr>
        <w:pStyle w:val="pj"/>
      </w:pPr>
      <w:r>
        <w:rPr>
          <w:rStyle w:val="s0"/>
        </w:rPr>
        <w:t>2) склады для хранения минеральных удобрений, пестицидов, сильнодействующих ядовитых веществ до 50 тонн в год;</w:t>
      </w:r>
    </w:p>
    <w:p w:rsidR="00000000" w:rsidRDefault="00CA71C9">
      <w:pPr>
        <w:pStyle w:val="pj"/>
      </w:pPr>
      <w:r>
        <w:rPr>
          <w:rStyle w:val="s0"/>
        </w:rPr>
        <w:t>3) склады су</w:t>
      </w:r>
      <w:r>
        <w:rPr>
          <w:rStyle w:val="s0"/>
        </w:rPr>
        <w:t>хих минеральных удобрений, химических средств защиты растений (зона устанавливается и до предприятий по хранению и переработке пищевой продукции);</w:t>
      </w:r>
    </w:p>
    <w:p w:rsidR="00000000" w:rsidRDefault="00CA71C9">
      <w:pPr>
        <w:pStyle w:val="pj"/>
      </w:pPr>
      <w:r>
        <w:rPr>
          <w:rStyle w:val="s0"/>
        </w:rPr>
        <w:t>4) мелиоративные объекты с использованием животноводческих стоков;</w:t>
      </w:r>
    </w:p>
    <w:p w:rsidR="00000000" w:rsidRDefault="00CA71C9">
      <w:pPr>
        <w:pStyle w:val="pj"/>
      </w:pPr>
      <w:r>
        <w:rPr>
          <w:rStyle w:val="s0"/>
        </w:rPr>
        <w:t>5) цехи по приготовлению кормов, включая и</w:t>
      </w:r>
      <w:r>
        <w:rPr>
          <w:rStyle w:val="s0"/>
        </w:rPr>
        <w:t>спользование пищевых отходов;</w:t>
      </w:r>
    </w:p>
    <w:p w:rsidR="00000000" w:rsidRDefault="00CA71C9">
      <w:pPr>
        <w:pStyle w:val="pj"/>
      </w:pPr>
      <w:r>
        <w:rPr>
          <w:rStyle w:val="s0"/>
        </w:rPr>
        <w:t>6) гаражи и парки по ремонту, техническому обслуживанию и хранению грузовых автомобилей и сельскохозяйственной техники;</w:t>
      </w:r>
    </w:p>
    <w:p w:rsidR="00000000" w:rsidRDefault="00CA71C9">
      <w:pPr>
        <w:pStyle w:val="pj"/>
      </w:pPr>
      <w:r>
        <w:rPr>
          <w:rStyle w:val="s0"/>
        </w:rPr>
        <w:t>7) хозяйства с содержанием животных (свинарники, коровники, птичники, конюшни, зверофермы) до 50 голов;</w:t>
      </w:r>
    </w:p>
    <w:p w:rsidR="00000000" w:rsidRDefault="00CA71C9">
      <w:pPr>
        <w:pStyle w:val="pj"/>
      </w:pPr>
      <w:r>
        <w:rPr>
          <w:rStyle w:val="s0"/>
        </w:rPr>
        <w:t>8)</w:t>
      </w:r>
      <w:r>
        <w:rPr>
          <w:rStyle w:val="s0"/>
        </w:rPr>
        <w:t xml:space="preserve"> склады горюче-смазочных материалов.</w:t>
      </w:r>
    </w:p>
    <w:p w:rsidR="00000000" w:rsidRDefault="00CA71C9">
      <w:pPr>
        <w:pStyle w:val="pj"/>
      </w:pPr>
      <w:r>
        <w:rPr>
          <w:rStyle w:val="s0"/>
        </w:rPr>
        <w:t>Примечание: для складов горюче-смазочных материалов вместимостью до 100 м3 размеры СЗЗ определяются на основе расчетов в каждом конкретном случае при обязательном увеличении размеров не менее чем в 3 раза, установленных</w:t>
      </w:r>
      <w:r>
        <w:rPr>
          <w:rStyle w:val="s0"/>
        </w:rPr>
        <w:t xml:space="preserve"> по расчету, но не менее 50 м.»;</w:t>
      </w:r>
    </w:p>
    <w:p w:rsidR="00000000" w:rsidRDefault="00CA71C9">
      <w:pPr>
        <w:pStyle w:val="pj"/>
      </w:pPr>
      <w:r>
        <w:rPr>
          <w:rStyle w:val="s0"/>
        </w:rPr>
        <w:t>пункт 45 раздела 11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«45. Класс I - СЗЗ 1000 м:</w:t>
      </w:r>
    </w:p>
    <w:p w:rsidR="00000000" w:rsidRDefault="00CA71C9">
      <w:pPr>
        <w:pStyle w:val="pj"/>
      </w:pPr>
      <w:r>
        <w:rPr>
          <w:rStyle w:val="s0"/>
        </w:rPr>
        <w:t>1) поля ассенизации;</w:t>
      </w:r>
    </w:p>
    <w:p w:rsidR="00000000" w:rsidRDefault="00CA71C9">
      <w:pPr>
        <w:pStyle w:val="pj"/>
      </w:pPr>
      <w:r>
        <w:rPr>
          <w:rStyle w:val="s0"/>
        </w:rPr>
        <w:t>2) поля запахивания;</w:t>
      </w:r>
    </w:p>
    <w:p w:rsidR="00000000" w:rsidRDefault="00CA71C9">
      <w:pPr>
        <w:pStyle w:val="pj"/>
      </w:pPr>
      <w:r>
        <w:rPr>
          <w:rStyle w:val="s0"/>
        </w:rPr>
        <w:t>3) сливные станции;</w:t>
      </w:r>
    </w:p>
    <w:p w:rsidR="00000000" w:rsidRDefault="00CA71C9">
      <w:pPr>
        <w:pStyle w:val="pj"/>
      </w:pPr>
      <w:r>
        <w:rPr>
          <w:rStyle w:val="s0"/>
        </w:rPr>
        <w:t>4) скотомогильники с захоронением в ямах;</w:t>
      </w:r>
    </w:p>
    <w:p w:rsidR="00000000" w:rsidRDefault="00CA71C9">
      <w:pPr>
        <w:pStyle w:val="pj"/>
      </w:pPr>
      <w:r>
        <w:rPr>
          <w:rStyle w:val="s0"/>
        </w:rPr>
        <w:t>5) утильзаводы для ликвидации трупов животных и конфискатов;</w:t>
      </w:r>
    </w:p>
    <w:p w:rsidR="00000000" w:rsidRDefault="00CA71C9">
      <w:pPr>
        <w:pStyle w:val="pj"/>
      </w:pPr>
      <w:r>
        <w:rPr>
          <w:rStyle w:val="s0"/>
        </w:rPr>
        <w:t>6) крематории, при количестве печей более 1 (одной);</w:t>
      </w:r>
    </w:p>
    <w:p w:rsidR="00000000" w:rsidRDefault="00CA71C9">
      <w:pPr>
        <w:pStyle w:val="pj"/>
      </w:pPr>
      <w:r>
        <w:rPr>
          <w:rStyle w:val="s0"/>
        </w:rPr>
        <w:t>7) станции и пункты очистки и промывки вагонов после перевозки скота (дезопромывочные станции и пункты);</w:t>
      </w:r>
    </w:p>
    <w:p w:rsidR="00000000" w:rsidRDefault="00CA71C9">
      <w:pPr>
        <w:pStyle w:val="pj"/>
      </w:pPr>
      <w:r>
        <w:rPr>
          <w:rStyle w:val="s0"/>
        </w:rPr>
        <w:t>8) участки компостирования твердых от</w:t>
      </w:r>
      <w:r>
        <w:rPr>
          <w:rStyle w:val="s0"/>
        </w:rPr>
        <w:t>бросов и нечистот населенного пункта (центральные);</w:t>
      </w:r>
    </w:p>
    <w:p w:rsidR="00000000" w:rsidRDefault="00CA71C9">
      <w:pPr>
        <w:pStyle w:val="pj"/>
      </w:pPr>
      <w:r>
        <w:rPr>
          <w:rStyle w:val="s0"/>
        </w:rPr>
        <w:t>9) ранее захороненные сибиреязвенные скотомогильники, скотомогильники с захоронением в ямах, с биологическими камерами.</w:t>
      </w:r>
    </w:p>
    <w:p w:rsidR="00000000" w:rsidRDefault="00CA71C9">
      <w:pPr>
        <w:pStyle w:val="pj"/>
      </w:pPr>
      <w:r>
        <w:rPr>
          <w:rStyle w:val="s0"/>
        </w:rPr>
        <w:t>Примечание: Размеры СЗЗ для сибиреязвенных скотомогильников и скотомогильников с неу</w:t>
      </w:r>
      <w:r>
        <w:rPr>
          <w:rStyle w:val="s0"/>
        </w:rPr>
        <w:t>становленной причиной падежа животных определяются согласно нормативным размерам СЗЗ, без разработки проекта СЗЗ. Ввиду биологического риска сокращение СЗЗ допускается на основании научных исследований в области биологической безопасности.»;</w:t>
      </w:r>
    </w:p>
    <w:p w:rsidR="00000000" w:rsidRDefault="00CA71C9">
      <w:pPr>
        <w:pStyle w:val="pj"/>
      </w:pPr>
      <w:r>
        <w:rPr>
          <w:rStyle w:val="s0"/>
        </w:rPr>
        <w:t>пункт 52 разде</w:t>
      </w:r>
      <w:r>
        <w:rPr>
          <w:rStyle w:val="s0"/>
        </w:rPr>
        <w:t>ла 13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«52. Класс II - СЗЗ 500 м:</w:t>
      </w:r>
    </w:p>
    <w:p w:rsidR="00000000" w:rsidRDefault="00CA71C9">
      <w:pPr>
        <w:pStyle w:val="pj"/>
      </w:pPr>
      <w:r>
        <w:rPr>
          <w:rStyle w:val="s0"/>
        </w:rPr>
        <w:t>1) открытые склады и места разгрузки апатитного концентрата, фосфоритной муки, цементов и других пылящих грузов при грузообороте до 150000 тонн в год;</w:t>
      </w:r>
    </w:p>
    <w:p w:rsidR="00000000" w:rsidRDefault="00CA71C9">
      <w:pPr>
        <w:pStyle w:val="pj"/>
      </w:pPr>
      <w:r>
        <w:rPr>
          <w:rStyle w:val="s0"/>
        </w:rPr>
        <w:t>2) открытые склады и места перегрузки угл</w:t>
      </w:r>
      <w:r>
        <w:rPr>
          <w:rStyle w:val="s0"/>
        </w:rPr>
        <w:t>я;</w:t>
      </w:r>
    </w:p>
    <w:p w:rsidR="00000000" w:rsidRDefault="00CA71C9">
      <w:pPr>
        <w:pStyle w:val="pj"/>
      </w:pPr>
      <w:r>
        <w:rPr>
          <w:rStyle w:val="s0"/>
        </w:rPr>
        <w:t>3) открытые склады и места перегрузки минеральных удобрений, асбеста, извести, руд (кроме радиоактивных) и других минералов (в том числе серы, серного колчедана, гипса);</w:t>
      </w:r>
    </w:p>
    <w:p w:rsidR="00000000" w:rsidRDefault="00CA71C9">
      <w:pPr>
        <w:pStyle w:val="pj"/>
      </w:pPr>
      <w:r>
        <w:rPr>
          <w:rStyle w:val="s0"/>
        </w:rPr>
        <w:t>4) места перегрузки и хранения сырой нефти, битума, мазута и других вязких нефтепро</w:t>
      </w:r>
      <w:r>
        <w:rPr>
          <w:rStyle w:val="s0"/>
        </w:rPr>
        <w:t>дуктов и химических грузов;</w:t>
      </w:r>
    </w:p>
    <w:p w:rsidR="00000000" w:rsidRDefault="00CA71C9">
      <w:pPr>
        <w:pStyle w:val="pj"/>
      </w:pPr>
      <w:r>
        <w:rPr>
          <w:rStyle w:val="s0"/>
        </w:rPr>
        <w:t>5) открытые и закрытые склады и места перегрузки пека и пекосодержащих грузов;</w:t>
      </w:r>
    </w:p>
    <w:p w:rsidR="00000000" w:rsidRDefault="00CA71C9">
      <w:pPr>
        <w:pStyle w:val="pj"/>
      </w:pPr>
      <w:r>
        <w:rPr>
          <w:rStyle w:val="s0"/>
        </w:rPr>
        <w:t>6) места хранения и перегрузки деревянных шпал, пропитанных антисептиками;</w:t>
      </w:r>
    </w:p>
    <w:p w:rsidR="00000000" w:rsidRDefault="00CA71C9">
      <w:pPr>
        <w:pStyle w:val="pj"/>
      </w:pPr>
      <w:r>
        <w:rPr>
          <w:rStyle w:val="s0"/>
        </w:rPr>
        <w:t>7) санитарно-карантинные станции;</w:t>
      </w:r>
    </w:p>
    <w:p w:rsidR="00000000" w:rsidRDefault="00CA71C9">
      <w:pPr>
        <w:pStyle w:val="pj"/>
      </w:pPr>
      <w:r>
        <w:rPr>
          <w:rStyle w:val="s0"/>
        </w:rPr>
        <w:t>8) места перегрузки и хранения сжиженног</w:t>
      </w:r>
      <w:r>
        <w:rPr>
          <w:rStyle w:val="s0"/>
        </w:rPr>
        <w:t>о природного (нефтяного) газа (в том числе соединения метана, пропана, бутана) объемом от 250 до 1000 м3.»;</w:t>
      </w:r>
    </w:p>
    <w:p w:rsidR="00000000" w:rsidRDefault="00CA71C9">
      <w:pPr>
        <w:pStyle w:val="pj"/>
      </w:pPr>
      <w:r>
        <w:rPr>
          <w:rStyle w:val="s0"/>
        </w:rPr>
        <w:t>пункт 56 раздела 14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«56. Класс I - СЗЗ 1000 м:</w:t>
      </w:r>
    </w:p>
    <w:p w:rsidR="00000000" w:rsidRDefault="00CA71C9">
      <w:pPr>
        <w:pStyle w:val="pj"/>
      </w:pPr>
      <w:r>
        <w:rPr>
          <w:rStyle w:val="s0"/>
        </w:rPr>
        <w:t>1) тепловые электрические станции (далее - ТЭС), эквивалентной электри</w:t>
      </w:r>
      <w:r>
        <w:rPr>
          <w:rStyle w:val="s0"/>
        </w:rPr>
        <w:t>ческой мощности в 600 мегаватт/час (далее - МВт/ч) и выше, использующие в качестве топлива уголь и мазут.»;</w:t>
      </w:r>
    </w:p>
    <w:p w:rsidR="00000000" w:rsidRDefault="00CA71C9">
      <w:pPr>
        <w:pStyle w:val="pj"/>
      </w:pPr>
      <w:r>
        <w:rPr>
          <w:rStyle w:val="s0"/>
        </w:rPr>
        <w:t>пункт 57 раздела 14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«57. Класс II - СЗЗ 500 м:</w:t>
      </w:r>
    </w:p>
    <w:p w:rsidR="00000000" w:rsidRDefault="00CA71C9">
      <w:pPr>
        <w:pStyle w:val="pj"/>
      </w:pPr>
      <w:r>
        <w:rPr>
          <w:rStyle w:val="s0"/>
        </w:rPr>
        <w:t>1) ТЭС эквивалентной электрической мощности в 600 МВт/ч и выше, работающие на газовом и газо-мазутном топливе;</w:t>
      </w:r>
    </w:p>
    <w:p w:rsidR="00000000" w:rsidRDefault="00CA71C9">
      <w:pPr>
        <w:pStyle w:val="pj"/>
      </w:pPr>
      <w:r>
        <w:rPr>
          <w:rStyle w:val="s0"/>
        </w:rPr>
        <w:t>2) тепловые электроцентрали (далее - ТЭЦ) и районные котельные тепловой мощностью 200 гигакаллорий/час (далее - Гкал/ч) и выше, работающие на уго</w:t>
      </w:r>
      <w:r>
        <w:rPr>
          <w:rStyle w:val="s0"/>
        </w:rPr>
        <w:t>льном и мазутном топливе;»;</w:t>
      </w:r>
    </w:p>
    <w:p w:rsidR="00000000" w:rsidRDefault="00CA71C9">
      <w:pPr>
        <w:pStyle w:val="pj"/>
      </w:pPr>
      <w:r>
        <w:rPr>
          <w:rStyle w:val="s0"/>
        </w:rPr>
        <w:t>пункт 58 раздела 14 изложить в следующей редакции:</w:t>
      </w:r>
    </w:p>
    <w:p w:rsidR="00000000" w:rsidRDefault="00CA71C9">
      <w:pPr>
        <w:pStyle w:val="pj"/>
      </w:pPr>
      <w:r>
        <w:rPr>
          <w:rStyle w:val="s0"/>
        </w:rPr>
        <w:t>«58. Класс III - СЗЗ 300 м:</w:t>
      </w:r>
    </w:p>
    <w:p w:rsidR="00000000" w:rsidRDefault="00CA71C9">
      <w:pPr>
        <w:pStyle w:val="pj"/>
      </w:pPr>
      <w:r>
        <w:rPr>
          <w:rStyle w:val="s0"/>
        </w:rPr>
        <w:t>1) ТЭЦ и районные котельные тепловой мощностью 200 Гкал/ч и выше, работающие на газовом и газомазутном топливе (последний - как резервный), относятся</w:t>
      </w:r>
      <w:r>
        <w:rPr>
          <w:rStyle w:val="s0"/>
        </w:rPr>
        <w:t xml:space="preserve"> к объектам третьего класса с размером 300 м.;</w:t>
      </w:r>
    </w:p>
    <w:p w:rsidR="00000000" w:rsidRDefault="00CA71C9">
      <w:pPr>
        <w:pStyle w:val="pj"/>
      </w:pPr>
      <w:r>
        <w:rPr>
          <w:rStyle w:val="s0"/>
        </w:rPr>
        <w:t>2) минимальный размер СЗЗ от золоотвалы ТЭС и ТЭЦ составляет не менее 300 м с посадкой деревьев и кустарников по периметру.</w:t>
      </w:r>
    </w:p>
    <w:p w:rsidR="00000000" w:rsidRDefault="00CA71C9">
      <w:pPr>
        <w:pStyle w:val="pj"/>
      </w:pPr>
      <w:r>
        <w:rPr>
          <w:rStyle w:val="s0"/>
        </w:rPr>
        <w:t>Примечание:</w:t>
      </w:r>
    </w:p>
    <w:p w:rsidR="00000000" w:rsidRDefault="00CA71C9">
      <w:pPr>
        <w:pStyle w:val="pj"/>
      </w:pPr>
      <w:r>
        <w:rPr>
          <w:rStyle w:val="s0"/>
        </w:rPr>
        <w:t xml:space="preserve">1. При установлении минимальной величины СЗЗ от всех типов котельных тепловой мощностью менее 200 Гкал/ч, работающих на твердом, жидком и газообразном топливе, необходимо определение расчетной концентрации над поверхностью земли, а в условиях многоэтажной </w:t>
      </w:r>
      <w:r>
        <w:rPr>
          <w:rStyle w:val="s0"/>
        </w:rPr>
        <w:t>жилой застройки также определение вертикального распределения концентраций, с учетом рельефа местности и застройки, а также акустических расчетов. При максимальных разовых и среднесуточных концентрациях загрязняющих веществ от отдельно стоящих котельных на</w:t>
      </w:r>
      <w:r>
        <w:rPr>
          <w:rStyle w:val="s0"/>
        </w:rPr>
        <w:t xml:space="preserve"> твердом и жидком топливе не превышающих ПДК для населения СЗЗ 50 м. Для отдельно стоящих котельных на газовом топливе размер СЗЗ устанавливается на основании расчетных данных.</w:t>
      </w:r>
    </w:p>
    <w:p w:rsidR="00000000" w:rsidRDefault="00CA71C9">
      <w:pPr>
        <w:pStyle w:val="pj"/>
      </w:pPr>
      <w:r>
        <w:rPr>
          <w:rStyle w:val="s0"/>
        </w:rPr>
        <w:t>2. По расчету рассеивания загрязняющих веществ и воздействия физических факторо</w:t>
      </w:r>
      <w:r>
        <w:rPr>
          <w:rStyle w:val="s0"/>
        </w:rPr>
        <w:t>в допускается размещение автономных малометражных котлов и печей в встроено-пристроенных, встроенных, пристроенных, объектах, многоэтажных жилых домах, отдельно стоящих зданиях (лечебно-профилактические и оздоровительные организации, объекты образования, д</w:t>
      </w:r>
      <w:r>
        <w:rPr>
          <w:rStyle w:val="s0"/>
        </w:rPr>
        <w:t>ошкольные организации, сельские клубы, магазины и другие объекты общего пользования), при условии не превышения ПДК загрязняющих веществ от котлов и печей в расчетных точках, определяемых в жилых и общественных помещениях, придомовых территориях.</w:t>
      </w:r>
    </w:p>
    <w:p w:rsidR="00000000" w:rsidRDefault="00CA71C9">
      <w:pPr>
        <w:pStyle w:val="pj"/>
      </w:pPr>
      <w:r>
        <w:rPr>
          <w:rStyle w:val="s0"/>
        </w:rPr>
        <w:t>3. При на</w:t>
      </w:r>
      <w:r>
        <w:rPr>
          <w:rStyle w:val="s0"/>
        </w:rPr>
        <w:t>личии жилых домов повышенной этажности в зоне максимального загрязнения от котельных, высота дымовой трубы предусматривается, как минимум, на 1,5 м выше конька крыши самого высокого жилого дома.</w:t>
      </w:r>
    </w:p>
    <w:p w:rsidR="00000000" w:rsidRDefault="00CA71C9">
      <w:pPr>
        <w:pStyle w:val="pj"/>
      </w:pPr>
      <w:r>
        <w:rPr>
          <w:rStyle w:val="s0"/>
        </w:rPr>
        <w:t>4. Расчет рассеивания дымовых газов от объектов теплоэнергети</w:t>
      </w:r>
      <w:r>
        <w:rPr>
          <w:rStyle w:val="s0"/>
        </w:rPr>
        <w:t>ки проводится с учетом эффекта суммации, в том числе диоксида серы и оксидов азота, золы.</w:t>
      </w:r>
    </w:p>
    <w:p w:rsidR="00000000" w:rsidRDefault="00CA71C9">
      <w:pPr>
        <w:pStyle w:val="pj"/>
      </w:pPr>
      <w:r>
        <w:rPr>
          <w:rStyle w:val="s0"/>
        </w:rPr>
        <w:t>5. Насосные станции горячего водоснабжения относятся к объектам V класса с санитарным разрывом не менее 50 м.</w:t>
      </w:r>
    </w:p>
    <w:p w:rsidR="00000000" w:rsidRDefault="00CA71C9">
      <w:pPr>
        <w:pStyle w:val="pj"/>
      </w:pPr>
      <w:r>
        <w:rPr>
          <w:rStyle w:val="s0"/>
        </w:rPr>
        <w:t>6. Эквивалентная электрическая мощность - суммарная уста</w:t>
      </w:r>
      <w:r>
        <w:rPr>
          <w:rStyle w:val="s0"/>
        </w:rPr>
        <w:t>новленная электрическая и тепловая мощность, выраженная в мегаваттах.».</w:t>
      </w:r>
    </w:p>
    <w:p w:rsidR="00000000" w:rsidRDefault="00CA71C9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p w:rsidR="00000000" w:rsidRDefault="00CA71C9">
      <w:pPr>
        <w:pStyle w:val="pj"/>
      </w:pPr>
      <w:r>
        <w:rPr>
          <w:rStyle w:val="s0"/>
        </w:rPr>
        <w:t xml:space="preserve">1) государственную </w:t>
      </w:r>
      <w:hyperlink r:id="rId1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A71C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</w:t>
      </w:r>
      <w:r>
        <w:rPr>
          <w:rStyle w:val="s0"/>
        </w:rPr>
        <w:t xml:space="preserve"> опубликования;</w:t>
      </w:r>
    </w:p>
    <w:p w:rsidR="00000000" w:rsidRDefault="00CA71C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</w:t>
      </w:r>
      <w:r>
        <w:rPr>
          <w:rStyle w:val="s0"/>
        </w:rPr>
        <w:t>ии мероприятий, предусмотренных подпунктами 1) и 2) настоящего пункта.</w:t>
      </w:r>
    </w:p>
    <w:p w:rsidR="00000000" w:rsidRDefault="00CA71C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A71C9">
      <w:pPr>
        <w:pStyle w:val="pj"/>
      </w:pPr>
      <w:r>
        <w:rPr>
          <w:rStyle w:val="s0"/>
        </w:rPr>
        <w:t>4. Настоящий приказ вводится в действие по истечении десяти ка</w:t>
      </w:r>
      <w:r>
        <w:rPr>
          <w:rStyle w:val="s0"/>
        </w:rPr>
        <w:t xml:space="preserve">лендарных дней после дня его первого официального </w:t>
      </w:r>
      <w:hyperlink r:id="rId2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A71C9">
      <w:pPr>
        <w:pStyle w:val="pj"/>
      </w:pPr>
      <w:r>
        <w:rPr>
          <w:rStyle w:val="s0"/>
        </w:rPr>
        <w:t> </w:t>
      </w:r>
    </w:p>
    <w:p w:rsidR="00000000" w:rsidRDefault="00CA71C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71C9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</w:t>
            </w:r>
          </w:p>
          <w:p w:rsidR="00000000" w:rsidRDefault="00CA71C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CA71C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A71C9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A71C9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A71C9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CA71C9">
      <w:pPr>
        <w:pStyle w:val="pj"/>
      </w:pPr>
      <w:r>
        <w:rPr>
          <w:rStyle w:val="s0"/>
        </w:rPr>
        <w:t> 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сельского хозяйства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транспорта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обороны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промышленности</w:t>
      </w:r>
    </w:p>
    <w:p w:rsidR="00000000" w:rsidRDefault="00CA71C9">
      <w:pPr>
        <w:pStyle w:val="p"/>
      </w:pPr>
      <w:r>
        <w:rPr>
          <w:rStyle w:val="s0"/>
        </w:rPr>
        <w:t>и строительства 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торговли и интеграции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водных ресурсов и ирригации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по чрезвычайным ситуациям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Комитет Национальной Безопасности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внутренних дел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p w:rsidR="00000000" w:rsidRDefault="00CA71C9">
      <w:pPr>
        <w:pStyle w:val="p"/>
      </w:pPr>
      <w:r>
        <w:rPr>
          <w:rStyle w:val="s0"/>
        </w:rPr>
        <w:t>«СОГЛАСОВАН</w:t>
      </w:r>
    </w:p>
    <w:p w:rsidR="00000000" w:rsidRDefault="00CA71C9">
      <w:pPr>
        <w:pStyle w:val="p"/>
      </w:pPr>
      <w:r>
        <w:rPr>
          <w:rStyle w:val="s0"/>
        </w:rPr>
        <w:t>Министерство экологии</w:t>
      </w:r>
    </w:p>
    <w:p w:rsidR="00000000" w:rsidRDefault="00CA71C9">
      <w:pPr>
        <w:pStyle w:val="p"/>
      </w:pPr>
      <w:r>
        <w:rPr>
          <w:rStyle w:val="s0"/>
        </w:rPr>
        <w:t>и природных ресурсов</w:t>
      </w:r>
    </w:p>
    <w:p w:rsidR="00000000" w:rsidRDefault="00CA71C9">
      <w:pPr>
        <w:pStyle w:val="p"/>
      </w:pPr>
      <w:r>
        <w:rPr>
          <w:rStyle w:val="s0"/>
        </w:rPr>
        <w:t>Республики Каз</w:t>
      </w:r>
      <w:r>
        <w:rPr>
          <w:rStyle w:val="s0"/>
        </w:rPr>
        <w:t>ахстан</w:t>
      </w:r>
    </w:p>
    <w:p w:rsidR="00000000" w:rsidRDefault="00CA71C9">
      <w:pPr>
        <w:pStyle w:val="p"/>
      </w:pPr>
      <w:r>
        <w:rPr>
          <w:rStyle w:val="s0"/>
        </w:rPr>
        <w:t>«СОГЛАСОВАН»</w:t>
      </w:r>
    </w:p>
    <w:p w:rsidR="00000000" w:rsidRDefault="00CA71C9">
      <w:pPr>
        <w:pStyle w:val="p"/>
      </w:pPr>
      <w:r>
        <w:rPr>
          <w:rStyle w:val="s0"/>
        </w:rPr>
        <w:t>Министерство энергетики</w:t>
      </w:r>
    </w:p>
    <w:p w:rsidR="00000000" w:rsidRDefault="00CA71C9">
      <w:pPr>
        <w:pStyle w:val="p"/>
      </w:pPr>
      <w:r>
        <w:rPr>
          <w:rStyle w:val="s0"/>
        </w:rPr>
        <w:t>Республики Казахстан</w:t>
      </w:r>
    </w:p>
    <w:sectPr w:rsidR="0000000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C9" w:rsidRDefault="00CA71C9" w:rsidP="00CA71C9">
      <w:r>
        <w:separator/>
      </w:r>
    </w:p>
  </w:endnote>
  <w:endnote w:type="continuationSeparator" w:id="0">
    <w:p w:rsidR="00CA71C9" w:rsidRDefault="00CA71C9" w:rsidP="00CA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C9" w:rsidRDefault="00CA71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C9" w:rsidRDefault="00CA71C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C9" w:rsidRDefault="00CA71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C9" w:rsidRDefault="00CA71C9" w:rsidP="00CA71C9">
      <w:r>
        <w:separator/>
      </w:r>
    </w:p>
  </w:footnote>
  <w:footnote w:type="continuationSeparator" w:id="0">
    <w:p w:rsidR="00CA71C9" w:rsidRDefault="00CA71C9" w:rsidP="00CA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C9" w:rsidRDefault="00CA71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C9" w:rsidRDefault="00CA71C9" w:rsidP="00CA71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A71C9" w:rsidRDefault="00CA71C9" w:rsidP="00CA71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4 мая 2024 года № 18 «О внесении изменений в приказ исполняющего обязанности Министра здравоохранения Республики Казахстан от 11 января 2022 года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 (не введен в действие)</w:t>
    </w:r>
  </w:p>
  <w:p w:rsidR="00CA71C9" w:rsidRPr="00CA71C9" w:rsidRDefault="00CA71C9" w:rsidP="00CA71C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24.05.2024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C9" w:rsidRDefault="00CA71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71C9"/>
    <w:rsid w:val="00C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A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1C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A71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1C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A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1C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A71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1C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237881" TargetMode="External"/><Relationship Id="rId13" Type="http://schemas.openxmlformats.org/officeDocument/2006/relationships/hyperlink" Target="http://online.zakon.kz/Document/?doc_id=38237881" TargetMode="External"/><Relationship Id="rId18" Type="http://schemas.openxmlformats.org/officeDocument/2006/relationships/hyperlink" Target="http://online.zakon.kz/Document/?doc_id=3823788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nline.zakon.kz/Document/?doc_id=38237881" TargetMode="External"/><Relationship Id="rId12" Type="http://schemas.openxmlformats.org/officeDocument/2006/relationships/hyperlink" Target="http://online.zakon.kz/Document/?doc_id=38237881" TargetMode="External"/><Relationship Id="rId17" Type="http://schemas.openxmlformats.org/officeDocument/2006/relationships/hyperlink" Target="http://online.zakon.kz/Document/?doc_id=38237881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237881" TargetMode="External"/><Relationship Id="rId20" Type="http://schemas.openxmlformats.org/officeDocument/2006/relationships/hyperlink" Target="http://online.zakon.kz/Document/?doc_id=3489579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23788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23788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online.zakon.kz/Document/?doc_id=38237881" TargetMode="External"/><Relationship Id="rId19" Type="http://schemas.openxmlformats.org/officeDocument/2006/relationships/hyperlink" Target="http://online.zakon.kz/Document/?doc_id=34895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237881" TargetMode="External"/><Relationship Id="rId14" Type="http://schemas.openxmlformats.org/officeDocument/2006/relationships/hyperlink" Target="http://online.zakon.kz/Document/?doc_id=3823788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2655</Words>
  <Characters>19718</Characters>
  <Application>Microsoft Office Word</Application>
  <DocSecurity>0</DocSecurity>
  <Lines>164</Lines>
  <Paragraphs>44</Paragraphs>
  <ScaleCrop>false</ScaleCrop>
  <Company>SPecialiST RePack</Company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4 мая 2024 года № 18 «О внесении изменений в приказ исполняющего обязанности Министра здравоохранения Республики Казахстан от 11 января 2022 года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2024-05-14T07:17:00Z</dcterms:created>
  <dcterms:modified xsi:type="dcterms:W3CDTF">2024-05-14T07:17:00Z</dcterms:modified>
</cp:coreProperties>
</file>