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62-НҚ от 29.02.2024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85F5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E7D25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19C9BA05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</w:t>
      </w:r>
      <w:r w:rsidR="00770A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70A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некоторых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E82E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медицинских изделий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064DFE92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733">
        <w:rPr>
          <w:rFonts w:ascii="Times New Roman" w:hAnsi="Times New Roman"/>
          <w:sz w:val="28"/>
          <w:szCs w:val="28"/>
          <w:lang w:val="ru-RU"/>
        </w:rPr>
        <w:t>10,</w:t>
      </w:r>
      <w:r w:rsidR="00373205">
        <w:rPr>
          <w:rFonts w:ascii="Times New Roman" w:hAnsi="Times New Roman"/>
          <w:sz w:val="28"/>
          <w:szCs w:val="28"/>
          <w:lang w:val="ru-RU"/>
        </w:rPr>
        <w:t xml:space="preserve"> подпунктом 1) </w:t>
      </w:r>
      <w:r w:rsidR="003B3733">
        <w:rPr>
          <w:rFonts w:ascii="Times New Roman" w:hAnsi="Times New Roman"/>
          <w:sz w:val="28"/>
          <w:szCs w:val="28"/>
          <w:lang w:val="ru-RU"/>
        </w:rPr>
        <w:t xml:space="preserve">пункта 1 </w:t>
      </w:r>
      <w:r w:rsidR="00373205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373205">
        <w:rPr>
          <w:rFonts w:ascii="Times New Roman" w:hAnsi="Times New Roman"/>
          <w:sz w:val="28"/>
          <w:szCs w:val="28"/>
          <w:lang w:val="ru-RU"/>
        </w:rPr>
        <w:t>и</w:t>
      </w:r>
      <w:r w:rsidR="00373205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3205">
        <w:rPr>
          <w:rFonts w:ascii="Times New Roman" w:hAnsi="Times New Roman"/>
          <w:sz w:val="28"/>
          <w:szCs w:val="28"/>
          <w:lang w:val="ru-RU"/>
        </w:rPr>
        <w:t xml:space="preserve">259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 w:rsidR="00373205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373205">
        <w:rPr>
          <w:rFonts w:ascii="Times New Roman" w:hAnsi="Times New Roman"/>
          <w:sz w:val="28"/>
          <w:szCs w:val="28"/>
          <w:lang w:val="ru-RU"/>
        </w:rPr>
        <w:t xml:space="preserve">подпунктом 1) пункта 3 Правил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373205">
        <w:rPr>
          <w:rFonts w:ascii="Times New Roman" w:hAnsi="Times New Roman"/>
          <w:sz w:val="28"/>
          <w:szCs w:val="28"/>
          <w:lang w:val="kk-KZ"/>
        </w:rPr>
        <w:t>, утвержденных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прик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kk-KZ"/>
        </w:rPr>
        <w:t>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66E5E178" w:rsidR="007E3911" w:rsidRDefault="005C1206" w:rsidP="007A32D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5B63">
        <w:rPr>
          <w:rFonts w:ascii="Times New Roman" w:hAnsi="Times New Roman"/>
          <w:sz w:val="28"/>
          <w:lang w:val="ru-RU"/>
        </w:rPr>
        <w:t xml:space="preserve">Приостановить </w:t>
      </w:r>
      <w:r w:rsidR="00770A0A">
        <w:rPr>
          <w:rFonts w:ascii="Times New Roman" w:hAnsi="Times New Roman"/>
          <w:sz w:val="28"/>
          <w:lang w:val="ru-RU"/>
        </w:rPr>
        <w:t xml:space="preserve">действие некоторых </w:t>
      </w:r>
      <w:r w:rsidR="00770A0A" w:rsidRPr="00A2681D">
        <w:rPr>
          <w:rFonts w:ascii="Times New Roman" w:hAnsi="Times New Roman"/>
          <w:sz w:val="28"/>
          <w:lang w:val="ru-RU"/>
        </w:rPr>
        <w:t>регистрационны</w:t>
      </w:r>
      <w:r w:rsidR="00770A0A">
        <w:rPr>
          <w:rFonts w:ascii="Times New Roman" w:hAnsi="Times New Roman"/>
          <w:sz w:val="28"/>
          <w:lang w:val="ru-RU"/>
        </w:rPr>
        <w:t>х</w:t>
      </w:r>
      <w:r w:rsidR="00770A0A" w:rsidRPr="00A2681D">
        <w:rPr>
          <w:rFonts w:ascii="Times New Roman" w:hAnsi="Times New Roman"/>
          <w:sz w:val="28"/>
          <w:lang w:val="ru-RU"/>
        </w:rPr>
        <w:t xml:space="preserve"> удостоверени</w:t>
      </w:r>
      <w:r w:rsidR="00770A0A">
        <w:rPr>
          <w:rFonts w:ascii="Times New Roman" w:hAnsi="Times New Roman"/>
          <w:sz w:val="28"/>
          <w:lang w:val="ru-RU"/>
        </w:rPr>
        <w:t>й</w:t>
      </w:r>
      <w:r w:rsidR="00A2681D" w:rsidRPr="00A2681D">
        <w:rPr>
          <w:rFonts w:ascii="Times New Roman" w:hAnsi="Times New Roman"/>
          <w:sz w:val="28"/>
          <w:lang w:val="ru-RU"/>
        </w:rPr>
        <w:t xml:space="preserve"> </w:t>
      </w:r>
      <w:r w:rsidR="00E82EBF">
        <w:rPr>
          <w:rFonts w:ascii="Times New Roman" w:hAnsi="Times New Roman"/>
          <w:sz w:val="28"/>
          <w:lang w:val="ru-RU"/>
        </w:rPr>
        <w:t>медицинских изделий</w:t>
      </w:r>
      <w:r w:rsidR="001446B9">
        <w:rPr>
          <w:rFonts w:ascii="Times New Roman" w:hAnsi="Times New Roman"/>
          <w:sz w:val="28"/>
          <w:lang w:val="ru-RU"/>
        </w:rPr>
        <w:t xml:space="preserve"> </w:t>
      </w:r>
      <w:r w:rsidR="00CF3FD3" w:rsidRPr="00CF3FD3">
        <w:rPr>
          <w:rFonts w:ascii="Times New Roman" w:hAnsi="Times New Roman"/>
          <w:sz w:val="28"/>
          <w:lang w:val="ru-RU"/>
        </w:rPr>
        <w:t>согласно приложени</w:t>
      </w:r>
      <w:r w:rsidR="001B0858">
        <w:rPr>
          <w:rFonts w:ascii="Times New Roman" w:hAnsi="Times New Roman"/>
          <w:sz w:val="28"/>
          <w:lang w:val="ru-RU"/>
        </w:rPr>
        <w:t>ю</w:t>
      </w:r>
      <w:r w:rsidR="00CF3FD3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921EC0">
        <w:rPr>
          <w:rFonts w:ascii="Times New Roman" w:hAnsi="Times New Roman"/>
          <w:sz w:val="28"/>
          <w:lang w:val="ru-RU"/>
        </w:rPr>
        <w:t>приказу</w:t>
      </w:r>
      <w:r w:rsidR="00A2681D" w:rsidRPr="00A2681D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2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2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64BAB34D" w:rsidR="002E4335" w:rsidRPr="000245E6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5C12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 сертификатов соответствия продукций, выданных на </w:t>
      </w:r>
      <w:r w:rsidR="00E82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медицинские изделия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6420089" w14:textId="2211DE9C" w:rsidR="00EA5E0F" w:rsidRPr="00EA5E0F" w:rsidRDefault="00EE63B4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медицинского изделия согласно пункту 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Pr="00A75778">
        <w:rPr>
          <w:rFonts w:ascii="Times New Roman" w:hAnsi="Times New Roman"/>
          <w:sz w:val="28"/>
          <w:szCs w:val="28"/>
          <w:lang w:val="ru-RU"/>
        </w:rPr>
        <w:t>хранения и транспортировки лекарственных средств и медицинских изделий</w:t>
      </w:r>
      <w:r w:rsidRPr="00632EC0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77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16 февраля 2021 года № ҚР ДСМ-19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22230)</w:t>
      </w:r>
      <w:r w:rsidRPr="007A32DF">
        <w:rPr>
          <w:rFonts w:ascii="Times New Roman" w:hAnsi="Times New Roman"/>
          <w:sz w:val="28"/>
          <w:szCs w:val="28"/>
          <w:lang w:val="kk-KZ"/>
        </w:rPr>
        <w:t>.</w:t>
      </w:r>
    </w:p>
    <w:p w14:paraId="3A8A8316" w14:textId="1F3E6DEF" w:rsidR="00EA5E0F" w:rsidRPr="00EA5E0F" w:rsidRDefault="00CF653E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E0F">
        <w:rPr>
          <w:rFonts w:ascii="Times New Roman" w:hAnsi="Times New Roman"/>
          <w:sz w:val="28"/>
          <w:lang w:val="ru-RU"/>
        </w:rPr>
        <w:t xml:space="preserve">Держателю регистрационного удостоверения </w:t>
      </w:r>
      <w:r w:rsidRPr="002145F3">
        <w:rPr>
          <w:rFonts w:ascii="Times New Roman" w:hAnsi="Times New Roman"/>
          <w:sz w:val="28"/>
          <w:szCs w:val="28"/>
          <w:lang w:val="ru-RU"/>
        </w:rPr>
        <w:t>медицинских изделий</w:t>
      </w:r>
      <w:r w:rsidRPr="00EA5E0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 течении 180 (сто восемьдесять) дней со дня подписания настоящего приказа</w:t>
      </w:r>
      <w:r w:rsidRPr="00EA5E0F">
        <w:rPr>
          <w:rFonts w:ascii="Times New Roman" w:hAnsi="Times New Roman"/>
          <w:sz w:val="28"/>
          <w:lang w:val="ru-RU"/>
        </w:rPr>
        <w:t xml:space="preserve"> привести регистрационн</w:t>
      </w:r>
      <w:r>
        <w:rPr>
          <w:rFonts w:ascii="Times New Roman" w:hAnsi="Times New Roman"/>
          <w:sz w:val="28"/>
          <w:lang w:val="ru-RU"/>
        </w:rPr>
        <w:t>ы</w:t>
      </w:r>
      <w:r w:rsidRPr="00EA5E0F">
        <w:rPr>
          <w:rFonts w:ascii="Times New Roman" w:hAnsi="Times New Roman"/>
          <w:sz w:val="28"/>
          <w:lang w:val="ru-RU"/>
        </w:rPr>
        <w:t>е удостоверени</w:t>
      </w:r>
      <w:r>
        <w:rPr>
          <w:rFonts w:ascii="Times New Roman" w:hAnsi="Times New Roman"/>
          <w:sz w:val="28"/>
          <w:lang w:val="ru-RU"/>
        </w:rPr>
        <w:t>я</w:t>
      </w:r>
      <w:r w:rsidRPr="00EA5E0F">
        <w:rPr>
          <w:rFonts w:ascii="Times New Roman" w:hAnsi="Times New Roman"/>
          <w:sz w:val="28"/>
          <w:lang w:val="ru-RU"/>
        </w:rPr>
        <w:t xml:space="preserve"> </w:t>
      </w:r>
      <w:r w:rsidRPr="00EA5E0F">
        <w:rPr>
          <w:rFonts w:ascii="Times New Roman" w:hAnsi="Times New Roman"/>
          <w:sz w:val="28"/>
          <w:lang w:val="kk-KZ"/>
        </w:rPr>
        <w:t>в соответствие с требованием действующего законодательства Республики Казахстан</w:t>
      </w:r>
      <w:r w:rsidR="00EA5E0F" w:rsidRPr="00EA5E0F">
        <w:rPr>
          <w:rFonts w:ascii="Times New Roman" w:hAnsi="Times New Roman"/>
          <w:sz w:val="28"/>
          <w:lang w:val="kk-KZ"/>
        </w:rPr>
        <w:t>.</w:t>
      </w:r>
    </w:p>
    <w:p w14:paraId="11C87234" w14:textId="218E063E" w:rsidR="000245E6" w:rsidRPr="007A32DF" w:rsidRDefault="000245E6" w:rsidP="000245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случае не исполнения требований, указанных в пункте 6 настоящего приказа, Комитет примет решение о запрете медицинского применения </w:t>
      </w:r>
      <w:r w:rsidR="00EA5E0F" w:rsidRPr="002145F3">
        <w:rPr>
          <w:rFonts w:ascii="Times New Roman" w:hAnsi="Times New Roman"/>
          <w:sz w:val="28"/>
          <w:szCs w:val="28"/>
          <w:lang w:val="ru-RU"/>
        </w:rPr>
        <w:t>медицинских изделий</w:t>
      </w:r>
      <w:r w:rsidR="00770A0A">
        <w:rPr>
          <w:rFonts w:ascii="Times New Roman" w:hAnsi="Times New Roman"/>
          <w:sz w:val="28"/>
          <w:szCs w:val="28"/>
          <w:lang w:val="kk-KZ"/>
        </w:rPr>
        <w:t>,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 xml:space="preserve"> к настоящему приказу, путем отзыва регистрационных удостоверений в порядке, пред</w:t>
      </w:r>
      <w:r w:rsidR="00770A0A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смотренным действующим законодательством Республики Казахстан.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085C0135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B52BFE">
        <w:rPr>
          <w:rFonts w:ascii="Times New Roman" w:hAnsi="Times New Roman"/>
          <w:sz w:val="28"/>
          <w:lang w:val="ru-RU"/>
        </w:rPr>
        <w:t>о</w:t>
      </w:r>
      <w:r w:rsidR="000E22C8">
        <w:rPr>
          <w:rFonts w:ascii="Times New Roman" w:hAnsi="Times New Roman"/>
          <w:sz w:val="28"/>
          <w:lang w:val="ru-RU"/>
        </w:rPr>
        <w:t xml:space="preserve"> </w:t>
      </w:r>
      <w:r w:rsidR="000E22C8">
        <w:rPr>
          <w:rFonts w:ascii="Times New Roman" w:hAnsi="Times New Roman"/>
          <w:sz w:val="28"/>
          <w:lang w:val="kk-KZ"/>
        </w:rPr>
        <w:t xml:space="preserve">РГП на ПХВ «Национальный центр экспертизы </w:t>
      </w:r>
      <w:bookmarkStart w:id="3" w:name="_Hlk143103995"/>
      <w:r w:rsidR="000E22C8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3"/>
      <w:r w:rsidR="000E22C8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1B0858" w:rsidRPr="00491939">
        <w:rPr>
          <w:rFonts w:ascii="Times New Roman" w:hAnsi="Times New Roman"/>
          <w:sz w:val="28"/>
          <w:szCs w:val="28"/>
          <w:lang w:val="ru-RU"/>
        </w:rPr>
        <w:t>№</w:t>
      </w:r>
      <w:r w:rsidR="003369F5" w:rsidRPr="00336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E0F" w:rsidRPr="00EA5E0F">
        <w:rPr>
          <w:rFonts w:ascii="Times New Roman" w:hAnsi="Times New Roman"/>
          <w:sz w:val="28"/>
          <w:szCs w:val="28"/>
          <w:lang w:val="ru-RU"/>
        </w:rPr>
        <w:t>21-10-201/И</w:t>
      </w:r>
      <w:r w:rsidR="003369F5">
        <w:rPr>
          <w:rFonts w:ascii="Times New Roman" w:hAnsi="Times New Roman"/>
          <w:sz w:val="28"/>
          <w:szCs w:val="28"/>
          <w:lang w:val="ru-RU"/>
        </w:rPr>
        <w:br/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A5E0F">
        <w:rPr>
          <w:rFonts w:ascii="Times New Roman" w:hAnsi="Times New Roman"/>
          <w:sz w:val="28"/>
          <w:szCs w:val="28"/>
          <w:lang w:val="ru-RU"/>
        </w:rPr>
        <w:t>16</w:t>
      </w:r>
      <w:r w:rsidR="00336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E0F">
        <w:rPr>
          <w:rFonts w:ascii="Times New Roman" w:hAnsi="Times New Roman"/>
          <w:sz w:val="28"/>
          <w:szCs w:val="28"/>
          <w:lang w:val="ru-RU"/>
        </w:rPr>
        <w:t>февраля</w:t>
      </w:r>
      <w:r w:rsidR="001B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>202</w:t>
      </w:r>
      <w:r w:rsidR="00EA5E0F">
        <w:rPr>
          <w:rFonts w:ascii="Times New Roman" w:hAnsi="Times New Roman"/>
          <w:sz w:val="28"/>
          <w:szCs w:val="28"/>
          <w:lang w:val="ru-RU"/>
        </w:rPr>
        <w:t>4</w:t>
      </w:r>
      <w:r w:rsidR="009C168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6FFCE0" w14:textId="3C706653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EA5E0F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867AE4C" w14:textId="65964E6B" w:rsidR="00A26252" w:rsidRDefault="002B5CE8" w:rsidP="002B5CE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EA5E0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14:paraId="2C966450" w14:textId="77777777" w:rsidR="00CF3FD3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20932E93" w14:textId="77777777" w:rsidR="000B34AA" w:rsidRDefault="000B34AA" w:rsidP="00CF3F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496E8B41" w14:textId="524B5C27" w:rsidR="00CF3FD3" w:rsidRPr="00114E42" w:rsidRDefault="00CF3FD3" w:rsidP="000B34AA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приказу</w:t>
      </w:r>
      <w:r w:rsidR="000B3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BFE"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 w:rsidR="00B52BFE">
        <w:rPr>
          <w:rFonts w:ascii="Times New Roman" w:eastAsia="SimSun" w:hAnsi="Times New Roman"/>
          <w:sz w:val="28"/>
          <w:szCs w:val="28"/>
          <w:lang w:val="kk-KZ"/>
        </w:rPr>
        <w:t>я</w:t>
      </w:r>
    </w:p>
    <w:p w14:paraId="30E10BE3" w14:textId="77777777" w:rsidR="00CF3FD3" w:rsidRPr="00114E42" w:rsidRDefault="000B34AA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14:paraId="4491E40C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14:paraId="2BE67F5F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14:paraId="44B11F47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14:paraId="5A09B05F" w14:textId="547CC2D1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 w:rsidR="00EA5E0F">
        <w:rPr>
          <w:rFonts w:ascii="Times New Roman" w:hAnsi="Times New Roman"/>
          <w:sz w:val="28"/>
          <w:szCs w:val="28"/>
          <w:lang w:val="kk-KZ"/>
        </w:rPr>
        <w:t>февраля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EA5E0F">
        <w:rPr>
          <w:rFonts w:ascii="Times New Roman" w:hAnsi="Times New Roman"/>
          <w:sz w:val="28"/>
          <w:szCs w:val="28"/>
          <w:lang w:val="kk-KZ"/>
        </w:rPr>
        <w:t>4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14:paraId="40C01496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14:paraId="23E2A3CC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14:paraId="48B292C4" w14:textId="248F8992" w:rsidR="00CF3FD3" w:rsidRPr="00683F88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Перечень </w:t>
      </w:r>
      <w:r w:rsidR="00B52BFE" w:rsidRPr="0027484E">
        <w:rPr>
          <w:rFonts w:ascii="Times New Roman" w:hAnsi="Times New Roman"/>
          <w:b/>
          <w:sz w:val="28"/>
          <w:szCs w:val="28"/>
          <w:lang w:val="kk-KZ"/>
        </w:rPr>
        <w:t xml:space="preserve">регистрационных удостоверений </w:t>
      </w:r>
      <w:r w:rsidR="00EA5E0F" w:rsidRPr="00EA5E0F">
        <w:rPr>
          <w:rFonts w:ascii="Times New Roman" w:hAnsi="Times New Roman"/>
          <w:b/>
          <w:sz w:val="28"/>
          <w:szCs w:val="28"/>
          <w:lang w:val="kk-KZ"/>
        </w:rPr>
        <w:t>медицинских изделий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подлежащих </w:t>
      </w:r>
      <w:r w:rsidR="009527FA">
        <w:rPr>
          <w:rFonts w:ascii="Times New Roman" w:hAnsi="Times New Roman"/>
          <w:b/>
          <w:sz w:val="28"/>
          <w:szCs w:val="28"/>
          <w:lang w:val="kk-KZ"/>
        </w:rPr>
        <w:t>приостановлению</w:t>
      </w:r>
    </w:p>
    <w:p w14:paraId="05B531E3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3685"/>
      </w:tblGrid>
      <w:tr w:rsidR="00EA5E0F" w:rsidRPr="003B3733" w14:paraId="64F962EA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C49" w14:textId="77777777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68D" w14:textId="77777777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461" w14:textId="3D516935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EA5E0F">
              <w:rPr>
                <w:rFonts w:ascii="Times New Roman" w:hAnsi="Times New Roman"/>
                <w:b/>
                <w:sz w:val="24"/>
                <w:szCs w:val="24"/>
              </w:rPr>
              <w:t>медицинских изделий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09D" w14:textId="144DAF12" w:rsidR="00EA5E0F" w:rsidRPr="0027484E" w:rsidRDefault="00EA5E0F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Производитель, </w:t>
            </w: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держатель регистрационного удостоверения, страна</w:t>
            </w:r>
          </w:p>
        </w:tc>
      </w:tr>
      <w:tr w:rsidR="00EA5E0F" w:rsidRPr="003B3733" w14:paraId="11020523" w14:textId="77777777" w:rsidTr="00EA5E0F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6A4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E91" w14:textId="0D2DD9B4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РК-ИМН-5№016443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41C" w14:textId="0519B643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Экспресс тест для определения антител к хеликобактер пилори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535" w14:textId="44F4E4C5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7B3FFA90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C2F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0F4" w14:textId="5764773C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РК-ИМН-5№016446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E3A" w14:textId="47974F70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Экспресс тест для определения антител к вирусу иммунодефицита человека ВИЧ 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4FC" w14:textId="6D1E6F2D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0353FD0E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45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5EE" w14:textId="2EF6DC8D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РК-ИМН-5№016441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E6A" w14:textId="29A8EDE6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 тест для определения сердечного тропонина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214" w14:textId="439BFA8C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15AC291A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4D9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C9C" w14:textId="2DE237BE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РК-ИМН-0№023523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A3" w14:textId="7879443C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Экспресс-тест для обнаружения антигена вируса SARS-CoV-2 в мазках из носоглотки «COVID-19 Ag+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4F8" w14:textId="51E7A799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69052EDB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AD0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22A" w14:textId="22F68B7F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РК-ИМН-5№015045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C5D" w14:textId="68C23814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 тест для определения поверхностного антигена гепатита 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3D6" w14:textId="3F157126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762C73A5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48B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B12" w14:textId="2D8F3EA6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РК-ИМН-5№015043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2AE" w14:textId="164C05E4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 тест для определения антител сифилиса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D08" w14:textId="34A28D1B" w:rsidR="00EA5E0F" w:rsidRPr="00EA5E0F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4E9178A9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1DC" w14:textId="77777777" w:rsidR="00EA5E0F" w:rsidRPr="00EA5E0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491" w14:textId="70ED6287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РК-ИМН-5№015042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21A" w14:textId="47D1DDE2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 тест для определения антител вируса гепатита 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193" w14:textId="5B0C1787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745B27AC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05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8AC" w14:textId="4FC11AA7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РК-ИМН-5№015041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0DE" w14:textId="1A9EEAF8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 тест для определения скрытой крови в кале (FOB)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493" w14:textId="79EF8442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50E7F694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8EB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DE3" w14:textId="458BA212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РК-ИМН-5№021585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A99" w14:textId="140F91B4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Экспресс-тест для обнаружения антигена вируса SARS-CoV-2 в мазках из носоглотки «COVID-19 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15C" w14:textId="74B1DF98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583A0902" w14:textId="77777777" w:rsidTr="00EA5E0F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7E2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D6C" w14:textId="6E84B445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РК-ИМН-5№021298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00B" w14:textId="72BCD640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 xml:space="preserve">Экспресс тест (кассета, панель) для определения наркотических веществ либо их метаболитов в </w:t>
            </w:r>
            <w:r w:rsidRPr="00AC1C87">
              <w:rPr>
                <w:rFonts w:ascii="Times New Roman" w:hAnsi="Times New Roman"/>
                <w:sz w:val="24"/>
                <w:szCs w:val="24"/>
              </w:rPr>
              <w:lastRenderedPageBreak/>
              <w:t>моче (AMP, BAR, BZO, COC, THC, MTD, MET, MDMA, MOP, OPI, MDPV, TCA, TRA, EDDP, K2, PGB)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8ED" w14:textId="66DBC1BA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  <w:tr w:rsidR="00EA5E0F" w:rsidRPr="003B3733" w14:paraId="4F7E9129" w14:textId="77777777" w:rsidTr="00EA5E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68A" w14:textId="77777777" w:rsidR="00EA5E0F" w:rsidRPr="0063586F" w:rsidRDefault="00EA5E0F" w:rsidP="00420D7D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CCA" w14:textId="5C364029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РК-ИМН-5№020630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75C" w14:textId="02CE278B" w:rsidR="00EA5E0F" w:rsidRPr="00420D7D" w:rsidRDefault="00AC1C87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87">
              <w:rPr>
                <w:rFonts w:ascii="Times New Roman" w:hAnsi="Times New Roman"/>
                <w:sz w:val="24"/>
                <w:szCs w:val="24"/>
              </w:rPr>
              <w:t>Экспресс - тест для качественного определения антител IgG/gM к SARS-CoV-2 в цельной крови, сыворотке или плазме крови человека COVID-19 IgG/IgM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3EA" w14:textId="17A3F1FC" w:rsidR="00EA5E0F" w:rsidRPr="00420D7D" w:rsidRDefault="00EA5E0F" w:rsidP="00EA5E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0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«Eco Pharm KZ»</w:t>
            </w:r>
            <w:r>
              <w:rPr>
                <w:rFonts w:ascii="Times New Roman" w:hAnsi="Times New Roman"/>
                <w:sz w:val="24"/>
                <w:szCs w:val="24"/>
              </w:rPr>
              <w:t>, Казахстан</w:t>
            </w:r>
          </w:p>
        </w:tc>
      </w:tr>
    </w:tbl>
    <w:p w14:paraId="2D9FCEF8" w14:textId="77777777" w:rsidR="00CF3FD3" w:rsidRPr="00B52BFE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ru-RU"/>
        </w:rPr>
      </w:pPr>
    </w:p>
    <w:sectPr w:rsidR="00CF3FD3" w:rsidRPr="00B52BFE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16:58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17:53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18:41 Кенжеханова  Алмагуль Жумаханова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28.02.2024 18:48 Кабденов Алишер Кайратович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29.02.2024 19:11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CB7C" w14:textId="77777777" w:rsidR="0093103D" w:rsidRDefault="0093103D" w:rsidP="00CD3D4A">
      <w:pPr>
        <w:spacing w:after="0" w:line="240" w:lineRule="auto"/>
      </w:pPr>
      <w:r>
        <w:separator/>
      </w:r>
    </w:p>
  </w:endnote>
  <w:endnote w:type="continuationSeparator" w:id="0">
    <w:p w14:paraId="27C2D4F5" w14:textId="77777777" w:rsidR="0093103D" w:rsidRDefault="0093103D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01.03.2024 10:21.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01.03.2024 10:21.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42CA" w14:textId="77777777" w:rsidR="0093103D" w:rsidRDefault="0093103D" w:rsidP="00CD3D4A">
      <w:pPr>
        <w:spacing w:after="0" w:line="240" w:lineRule="auto"/>
      </w:pPr>
      <w:r>
        <w:separator/>
      </w:r>
    </w:p>
  </w:footnote>
  <w:footnote w:type="continuationSeparator" w:id="0">
    <w:p w14:paraId="6D6E3F9A" w14:textId="77777777" w:rsidR="0093103D" w:rsidRDefault="0093103D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33" w:rsidRPr="003B3733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303CBA"/>
    <w:rsid w:val="00310820"/>
    <w:rsid w:val="003369F5"/>
    <w:rsid w:val="003421AC"/>
    <w:rsid w:val="00350A3D"/>
    <w:rsid w:val="00356833"/>
    <w:rsid w:val="00363F45"/>
    <w:rsid w:val="00363F58"/>
    <w:rsid w:val="00366CF4"/>
    <w:rsid w:val="00373205"/>
    <w:rsid w:val="00376D3D"/>
    <w:rsid w:val="003862AD"/>
    <w:rsid w:val="0039684C"/>
    <w:rsid w:val="003A5F7B"/>
    <w:rsid w:val="003B1A7A"/>
    <w:rsid w:val="003B3694"/>
    <w:rsid w:val="003B3733"/>
    <w:rsid w:val="003D5523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36E40"/>
    <w:rsid w:val="00544CEF"/>
    <w:rsid w:val="00550082"/>
    <w:rsid w:val="00554D9D"/>
    <w:rsid w:val="005625EF"/>
    <w:rsid w:val="00563D2E"/>
    <w:rsid w:val="0057098E"/>
    <w:rsid w:val="005745EE"/>
    <w:rsid w:val="0059595A"/>
    <w:rsid w:val="005B2036"/>
    <w:rsid w:val="005C1206"/>
    <w:rsid w:val="005E0BB0"/>
    <w:rsid w:val="005E2F4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70A0A"/>
    <w:rsid w:val="00772B5A"/>
    <w:rsid w:val="00774951"/>
    <w:rsid w:val="0077619A"/>
    <w:rsid w:val="00780082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103D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1C87"/>
    <w:rsid w:val="00AC219C"/>
    <w:rsid w:val="00AD285A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60D42"/>
    <w:rsid w:val="00C749E2"/>
    <w:rsid w:val="00C87C1D"/>
    <w:rsid w:val="00C95DBB"/>
    <w:rsid w:val="00CC199D"/>
    <w:rsid w:val="00CD3D4A"/>
    <w:rsid w:val="00CD46E7"/>
    <w:rsid w:val="00CF3FD3"/>
    <w:rsid w:val="00CF653E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A5E0F"/>
    <w:rsid w:val="00EC22E3"/>
    <w:rsid w:val="00EC28C4"/>
    <w:rsid w:val="00EC35A5"/>
    <w:rsid w:val="00ED105E"/>
    <w:rsid w:val="00EE63B4"/>
    <w:rsid w:val="00EF2305"/>
    <w:rsid w:val="00F063C6"/>
    <w:rsid w:val="00F07CC8"/>
    <w:rsid w:val="00F17AC5"/>
    <w:rsid w:val="00F2463C"/>
    <w:rsid w:val="00F378CD"/>
    <w:rsid w:val="00F4073C"/>
    <w:rsid w:val="00F67B7F"/>
    <w:rsid w:val="00F72266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23" Type="http://schemas.openxmlformats.org/officeDocument/2006/relationships/image" Target="media/image92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CBB6-7F68-4F00-9850-1CD4468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193</cp:revision>
  <cp:lastPrinted>2023-09-04T05:48:00Z</cp:lastPrinted>
  <dcterms:created xsi:type="dcterms:W3CDTF">2022-07-26T10:45:00Z</dcterms:created>
  <dcterms:modified xsi:type="dcterms:W3CDTF">2024-02-28T07:57:00Z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