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708C5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26 ноября 2025 года № 153</w:t>
      </w:r>
      <w:r>
        <w:rPr>
          <w:rStyle w:val="s1"/>
        </w:rPr>
        <w:br/>
        <w:t>О внесении изменений в приказ Министра здравоохранения Республики Казахстан от 23 декабря 2020 года № ҚР ДСМ-320/2020 «Об утверждении правил проведения фармаконадзора и монит</w:t>
      </w:r>
      <w:r>
        <w:rPr>
          <w:rStyle w:val="s1"/>
        </w:rPr>
        <w:t>оринга безопасности, качества и эффективности медицинских изделий»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2708C5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здравоохранения Республики Казахстан от 23 декабря 2020 года № ҚР ДСМ-320/2020 «Об утверждении правил проведения фармаконадзора и мониторинга безопасности, качества и эффективности медицинских изделий» (зарегистрирован в Реестре государственной ре</w:t>
      </w:r>
      <w:r>
        <w:rPr>
          <w:rStyle w:val="s0"/>
        </w:rPr>
        <w:t>гистрации нормативных правовых актов под № 21896) следующие изменения:</w:t>
      </w:r>
    </w:p>
    <w:p w:rsidR="00000000" w:rsidRDefault="002708C5">
      <w:pPr>
        <w:pStyle w:val="pj"/>
      </w:pPr>
      <w:r>
        <w:rPr>
          <w:rStyle w:val="s0"/>
        </w:rPr>
        <w:t>преамбулу изложить в следующей редакции:</w:t>
      </w:r>
    </w:p>
    <w:p w:rsidR="00000000" w:rsidRDefault="002708C5">
      <w:pPr>
        <w:pStyle w:val="pj"/>
      </w:pPr>
      <w:r>
        <w:rPr>
          <w:rStyle w:val="s0"/>
        </w:rPr>
        <w:t>«В соответствии с пунктом 3 статьи 261 Кодекса Республики Казахстан «О здоровье народа и системе здравоохранения» и подпунктом 2) пункта 3 стать</w:t>
      </w:r>
      <w:r>
        <w:rPr>
          <w:rStyle w:val="s0"/>
        </w:rPr>
        <w:t xml:space="preserve">и 16 Закона Республики Казахстан «О государственной статистике»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:»;</w:t>
      </w:r>
    </w:p>
    <w:p w:rsidR="00000000" w:rsidRDefault="002708C5">
      <w:pPr>
        <w:pStyle w:val="pj"/>
      </w:pPr>
      <w:r>
        <w:rPr>
          <w:rStyle w:val="s0"/>
        </w:rPr>
        <w:t xml:space="preserve">в </w:t>
      </w:r>
      <w:hyperlink r:id="rId8" w:anchor="sub_id=100" w:history="1">
        <w:r>
          <w:rPr>
            <w:rStyle w:val="a4"/>
          </w:rPr>
          <w:t>Правилах</w:t>
        </w:r>
      </w:hyperlink>
      <w:r>
        <w:rPr>
          <w:rStyle w:val="s0"/>
        </w:rPr>
        <w:t xml:space="preserve"> проведения фармаконадзора и мониторинга безопасности, качества и эффективности медицин</w:t>
      </w:r>
      <w:r>
        <w:rPr>
          <w:rStyle w:val="s0"/>
        </w:rPr>
        <w:t>ских изделий, утвержденных указанным приказом:</w:t>
      </w:r>
    </w:p>
    <w:p w:rsidR="00000000" w:rsidRDefault="002708C5">
      <w:pPr>
        <w:pStyle w:val="pj"/>
      </w:pPr>
      <w:hyperlink r:id="rId9" w:anchor="sub_id=100" w:history="1">
        <w:r>
          <w:rPr>
            <w:rStyle w:val="a4"/>
          </w:rPr>
          <w:t>пункт 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2708C5">
      <w:pPr>
        <w:pStyle w:val="pj"/>
      </w:pPr>
      <w:r>
        <w:rPr>
          <w:rStyle w:val="s0"/>
        </w:rPr>
        <w:t>«1. Настоящие правила проведения фармаконадзора и мониторинга безопасности, качества и эф</w:t>
      </w:r>
      <w:r>
        <w:rPr>
          <w:rStyle w:val="s0"/>
        </w:rPr>
        <w:t>фективности медицинских изделий (далее - Правила) разработаны в соответствии с пунктом 3 статьи 261 Кодекса Республики Казахстан «О здоровье народа и системе здравоохранения» (далее - Кодекс), подпунктом 2) пункта 3 статьи 16 Закона Республики Казахстан «О</w:t>
      </w:r>
      <w:r>
        <w:rPr>
          <w:rStyle w:val="s0"/>
        </w:rPr>
        <w:t xml:space="preserve"> государственной статистике» и определяют порядок проведения фармаконадзора и мониторинга безопасности, качества и эффективности медицинских изделий.»;</w:t>
      </w:r>
    </w:p>
    <w:p w:rsidR="00000000" w:rsidRDefault="002708C5">
      <w:pPr>
        <w:pStyle w:val="pj"/>
      </w:pPr>
      <w:hyperlink r:id="rId10" w:anchor="sub_id=4" w:history="1">
        <w:r>
          <w:rPr>
            <w:rStyle w:val="a4"/>
          </w:rPr>
          <w:t>приложение 4</w:t>
        </w:r>
      </w:hyperlink>
      <w:r>
        <w:rPr>
          <w:rStyle w:val="s0"/>
        </w:rPr>
        <w:t xml:space="preserve"> к указанным </w:t>
      </w:r>
      <w:r>
        <w:rPr>
          <w:rStyle w:val="s0"/>
        </w:rPr>
        <w:t xml:space="preserve">Правилам изложить в новой редакции согласно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настоящему приказу.</w:t>
      </w:r>
    </w:p>
    <w:p w:rsidR="00000000" w:rsidRDefault="002708C5">
      <w:pPr>
        <w:pStyle w:val="pj"/>
      </w:pPr>
      <w:r>
        <w:rPr>
          <w:rStyle w:val="s0"/>
        </w:rPr>
        <w:t>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</w:t>
      </w:r>
      <w:r>
        <w:rPr>
          <w:rStyle w:val="s0"/>
        </w:rPr>
        <w:t>азахстан порядке обеспечить:</w:t>
      </w:r>
    </w:p>
    <w:p w:rsidR="00000000" w:rsidRDefault="002708C5">
      <w:pPr>
        <w:pStyle w:val="pj"/>
      </w:pPr>
      <w:r>
        <w:rPr>
          <w:rStyle w:val="s0"/>
        </w:rPr>
        <w:t xml:space="preserve">1) государственную </w:t>
      </w:r>
      <w:hyperlink r:id="rId11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2708C5">
      <w:pPr>
        <w:pStyle w:val="pj"/>
      </w:pPr>
      <w:r>
        <w:rPr>
          <w:rStyle w:val="s0"/>
        </w:rPr>
        <w:t>2) размещение настоящего приказа на интернет-ресурсе Министерства з</w:t>
      </w:r>
      <w:r>
        <w:rPr>
          <w:rStyle w:val="s0"/>
        </w:rPr>
        <w:t>дравоохранения Республики Казахстан после его официального опубликования;</w:t>
      </w:r>
    </w:p>
    <w:p w:rsidR="00000000" w:rsidRDefault="002708C5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</w:t>
      </w:r>
      <w:r>
        <w:rPr>
          <w:rStyle w:val="s0"/>
        </w:rPr>
        <w:t xml:space="preserve">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2708C5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2708C5">
      <w:pPr>
        <w:pStyle w:val="pj"/>
      </w:pPr>
      <w:r>
        <w:rPr>
          <w:rStyle w:val="s0"/>
        </w:rPr>
        <w:t>4. Н</w:t>
      </w:r>
      <w:r>
        <w:rPr>
          <w:rStyle w:val="s0"/>
        </w:rPr>
        <w:t xml:space="preserve">астоящий приказ вводится в действие по истечении десяти календарных дней после дня его первого официального </w:t>
      </w:r>
      <w:hyperlink r:id="rId12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08C5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2708C5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08C5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2708C5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</w:rPr>
        <w:t>«СОГЛАСОВАН»</w:t>
      </w:r>
    </w:p>
    <w:p w:rsidR="00000000" w:rsidRDefault="002708C5">
      <w:pPr>
        <w:pStyle w:val="pj"/>
      </w:pPr>
      <w:r>
        <w:rPr>
          <w:rStyle w:val="s0"/>
        </w:rPr>
        <w:t>Бюро национальной статистики</w:t>
      </w:r>
    </w:p>
    <w:p w:rsidR="00000000" w:rsidRDefault="002708C5">
      <w:pPr>
        <w:pStyle w:val="pj"/>
      </w:pPr>
      <w:r>
        <w:rPr>
          <w:rStyle w:val="s0"/>
        </w:rPr>
        <w:t>Агентства по стратегическому</w:t>
      </w:r>
    </w:p>
    <w:p w:rsidR="00000000" w:rsidRDefault="002708C5">
      <w:pPr>
        <w:pStyle w:val="pj"/>
      </w:pPr>
      <w:r>
        <w:rPr>
          <w:rStyle w:val="s0"/>
        </w:rPr>
        <w:t>планированию и реформам</w:t>
      </w:r>
    </w:p>
    <w:p w:rsidR="00000000" w:rsidRDefault="002708C5">
      <w:pPr>
        <w:pStyle w:val="pj"/>
      </w:pPr>
      <w:r>
        <w:rPr>
          <w:rStyle w:val="s0"/>
        </w:rPr>
        <w:t>Республики Казахстан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bookmarkStart w:id="1" w:name="SUB1"/>
      <w:bookmarkEnd w:id="1"/>
      <w:r>
        <w:rPr>
          <w:rStyle w:val="s0"/>
        </w:rPr>
        <w:t> </w:t>
      </w:r>
    </w:p>
    <w:p w:rsidR="00000000" w:rsidRDefault="002708C5">
      <w:pPr>
        <w:pStyle w:val="pr"/>
      </w:pPr>
      <w:r>
        <w:rPr>
          <w:rStyle w:val="s0"/>
        </w:rPr>
        <w:t xml:space="preserve">Приложение 1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2708C5">
      <w:pPr>
        <w:pStyle w:val="pr"/>
      </w:pPr>
      <w:r>
        <w:rPr>
          <w:rStyle w:val="s0"/>
        </w:rPr>
        <w:t>Министр здравоохранения</w:t>
      </w:r>
    </w:p>
    <w:p w:rsidR="00000000" w:rsidRDefault="002708C5">
      <w:pPr>
        <w:pStyle w:val="pr"/>
      </w:pPr>
      <w:r>
        <w:rPr>
          <w:rStyle w:val="s0"/>
        </w:rPr>
        <w:t>Республики Казахстан</w:t>
      </w:r>
    </w:p>
    <w:p w:rsidR="00000000" w:rsidRDefault="002708C5">
      <w:pPr>
        <w:pStyle w:val="pr"/>
      </w:pPr>
      <w:r>
        <w:rPr>
          <w:rStyle w:val="s0"/>
        </w:rPr>
        <w:t>от 26 ноября 2025 года №</w:t>
      </w:r>
      <w:r>
        <w:rPr>
          <w:rStyle w:val="s0"/>
        </w:rPr>
        <w:t xml:space="preserve"> 153</w:t>
      </w:r>
    </w:p>
    <w:p w:rsidR="00000000" w:rsidRDefault="002708C5">
      <w:pPr>
        <w:pStyle w:val="pr"/>
      </w:pPr>
      <w:r>
        <w:rPr>
          <w:rStyle w:val="s0"/>
        </w:rPr>
        <w:t> </w:t>
      </w:r>
    </w:p>
    <w:p w:rsidR="00000000" w:rsidRDefault="002708C5">
      <w:pPr>
        <w:pStyle w:val="pr"/>
      </w:pPr>
      <w:r>
        <w:rPr>
          <w:rStyle w:val="s0"/>
        </w:rPr>
        <w:t>Приложение 4</w:t>
      </w:r>
    </w:p>
    <w:p w:rsidR="00000000" w:rsidRDefault="002708C5">
      <w:pPr>
        <w:pStyle w:val="pr"/>
      </w:pPr>
      <w:r>
        <w:rPr>
          <w:rStyle w:val="s0"/>
        </w:rPr>
        <w:t>к правилам проведения фармаконадзора</w:t>
      </w:r>
    </w:p>
    <w:p w:rsidR="00000000" w:rsidRDefault="002708C5">
      <w:pPr>
        <w:pStyle w:val="pr"/>
      </w:pPr>
      <w:r>
        <w:rPr>
          <w:rStyle w:val="s0"/>
        </w:rPr>
        <w:t>и мониторинга безопасности, качества</w:t>
      </w:r>
    </w:p>
    <w:p w:rsidR="00000000" w:rsidRDefault="002708C5">
      <w:pPr>
        <w:pStyle w:val="pr"/>
      </w:pPr>
      <w:r>
        <w:rPr>
          <w:rStyle w:val="s0"/>
        </w:rPr>
        <w:t>и эффективности медицинских изделий</w:t>
      </w:r>
    </w:p>
    <w:p w:rsidR="00000000" w:rsidRDefault="002708C5">
      <w:pPr>
        <w:pStyle w:val="pr"/>
      </w:pPr>
      <w:r>
        <w:rPr>
          <w:rStyle w:val="s0"/>
        </w:rPr>
        <w:t> </w:t>
      </w:r>
    </w:p>
    <w:p w:rsidR="00000000" w:rsidRDefault="002708C5">
      <w:pPr>
        <w:pStyle w:val="pr"/>
      </w:pPr>
      <w:r>
        <w:rPr>
          <w:rStyle w:val="s0"/>
        </w:rPr>
        <w:t>Форма,</w:t>
      </w:r>
    </w:p>
    <w:p w:rsidR="00000000" w:rsidRDefault="002708C5">
      <w:pPr>
        <w:pStyle w:val="pr"/>
      </w:pPr>
      <w:r>
        <w:rPr>
          <w:rStyle w:val="s0"/>
        </w:rPr>
        <w:t>предназначенная для сбора</w:t>
      </w:r>
    </w:p>
    <w:p w:rsidR="00000000" w:rsidRDefault="002708C5">
      <w:pPr>
        <w:pStyle w:val="pr"/>
      </w:pPr>
      <w:r>
        <w:rPr>
          <w:rStyle w:val="s0"/>
        </w:rPr>
        <w:t>административных данных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</w:rPr>
        <w:t>Представляется: в государственный орган.</w:t>
      </w:r>
    </w:p>
    <w:p w:rsidR="00000000" w:rsidRDefault="002708C5">
      <w:pPr>
        <w:pStyle w:val="pj"/>
      </w:pPr>
      <w:r>
        <w:rPr>
          <w:rStyle w:val="s0"/>
        </w:rPr>
        <w:t>Форма, пр</w:t>
      </w:r>
      <w:r>
        <w:rPr>
          <w:rStyle w:val="s0"/>
        </w:rPr>
        <w:t>едназначенная для сбора административных данныхна безвозмездной основе размещена на интернет - ресурсе: https://www.gov.kz/memleket/entities/kmfk;</w:t>
      </w:r>
    </w:p>
    <w:p w:rsidR="00000000" w:rsidRDefault="002708C5">
      <w:pPr>
        <w:pStyle w:val="pj"/>
      </w:pPr>
      <w:r>
        <w:rPr>
          <w:rStyle w:val="s0"/>
        </w:rPr>
        <w:t>Наименование административной формы: Отчет о поступивших картах-сообщениях;</w:t>
      </w:r>
    </w:p>
    <w:p w:rsidR="00000000" w:rsidRDefault="002708C5">
      <w:pPr>
        <w:pStyle w:val="pj"/>
      </w:pPr>
      <w:r>
        <w:rPr>
          <w:rStyle w:val="s0"/>
        </w:rPr>
        <w:t>Индекс формы, предназначенной для</w:t>
      </w:r>
      <w:r>
        <w:rPr>
          <w:rStyle w:val="s0"/>
        </w:rPr>
        <w:t xml:space="preserve"> сбора административных данных на безвозмездной основе (краткое буквенно-цифровое выражение наименования формы): 1-О;</w:t>
      </w:r>
    </w:p>
    <w:p w:rsidR="00000000" w:rsidRDefault="002708C5">
      <w:pPr>
        <w:pStyle w:val="pj"/>
      </w:pPr>
      <w:r>
        <w:rPr>
          <w:rStyle w:val="s0"/>
        </w:rPr>
        <w:t>Периодичность: ежемесячная;</w:t>
      </w:r>
    </w:p>
    <w:p w:rsidR="00000000" w:rsidRDefault="002708C5">
      <w:pPr>
        <w:pStyle w:val="pj"/>
      </w:pPr>
      <w:r>
        <w:rPr>
          <w:rStyle w:val="s0"/>
        </w:rPr>
        <w:t>Отчетный период: ______________20___года;</w:t>
      </w:r>
    </w:p>
    <w:p w:rsidR="00000000" w:rsidRDefault="002708C5">
      <w:pPr>
        <w:pStyle w:val="pj"/>
      </w:pPr>
      <w:r>
        <w:rPr>
          <w:rStyle w:val="s0"/>
        </w:rPr>
        <w:t>Круг организаций, представляющих форму, предназначенную для сбора ад</w:t>
      </w:r>
      <w:r>
        <w:rPr>
          <w:rStyle w:val="s0"/>
        </w:rPr>
        <w:t>министративных данных на безвозмездной основе: экспертная организация</w:t>
      </w:r>
    </w:p>
    <w:p w:rsidR="00000000" w:rsidRDefault="002708C5">
      <w:pPr>
        <w:pStyle w:val="pj"/>
      </w:pPr>
      <w:r>
        <w:rPr>
          <w:rStyle w:val="s0"/>
        </w:rPr>
        <w:t>Срок представления формы, предназначенной для сбора административных данных на безвозмездной основе: к 1 числу месяца, следующего за отчетным.</w:t>
      </w:r>
    </w:p>
    <w:p w:rsidR="00000000" w:rsidRDefault="002708C5">
      <w:pPr>
        <w:pStyle w:val="pj"/>
      </w:pPr>
      <w:r>
        <w:rPr>
          <w:rStyle w:val="s0"/>
        </w:rPr>
        <w:t xml:space="preserve">БИН </w:t>
      </w:r>
      <w:r>
        <w:rPr>
          <w:noProof/>
        </w:rPr>
        <w:drawing>
          <wp:inline distT="0" distB="0" distL="0" distR="0">
            <wp:extent cx="4524375" cy="419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192.168.0.105/api/DocumentObject/GetImageAsync?ImageId=44728592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708C5">
      <w:pPr>
        <w:pStyle w:val="pj"/>
      </w:pPr>
      <w:r>
        <w:rPr>
          <w:rStyle w:val="s0"/>
        </w:rPr>
        <w:t>Метод представления (на бумажном носител</w:t>
      </w:r>
      <w:r>
        <w:rPr>
          <w:rStyle w:val="s0"/>
        </w:rPr>
        <w:t>е, в электронном виде, посредством компьютеризированной системы телефонного опроса, при личном опросе интервьюером с использованием бумажного носителя, при личном опросе интервьюером с использованием персонального вычислительного устройства): в электронном</w:t>
      </w:r>
      <w:r>
        <w:rPr>
          <w:rStyle w:val="s0"/>
        </w:rPr>
        <w:t xml:space="preserve"> виде.</w:t>
      </w:r>
    </w:p>
    <w:p w:rsidR="00000000" w:rsidRDefault="002708C5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2197"/>
        <w:gridCol w:w="781"/>
        <w:gridCol w:w="470"/>
        <w:gridCol w:w="4674"/>
      </w:tblGrid>
      <w:tr w:rsidR="00000000">
        <w:trPr>
          <w:jc w:val="center"/>
        </w:trPr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08C5">
            <w:pPr>
              <w:pStyle w:val="p"/>
            </w:pPr>
            <w:r>
              <w:t>Всего спонтанных карт-сообщений за отчетный период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08C5">
            <w:pPr>
              <w:pStyle w:val="p"/>
            </w:pPr>
            <w:r>
              <w:t>Из них в государственный орган отправленные письма (о серьезной нежелательной реакции)</w:t>
            </w:r>
          </w:p>
        </w:tc>
        <w:tc>
          <w:tcPr>
            <w:tcW w:w="4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08C5">
            <w:pPr>
              <w:pStyle w:val="p"/>
            </w:pPr>
            <w:r>
              <w:t>Принятые меры</w:t>
            </w:r>
          </w:p>
        </w:tc>
        <w:tc>
          <w:tcPr>
            <w:tcW w:w="2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08C5">
            <w:pPr>
              <w:pStyle w:val="p"/>
            </w:pPr>
            <w:r>
              <w:t>Информация о серьезной нежелательной реакции действии с исходом «смерть», «угроза жизни», «отсутствие эффективности», «передозировка», при применении подозреваемого препарата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08C5">
            <w:pPr>
              <w:pStyle w:val="pc"/>
            </w:pPr>
            <w: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08C5">
            <w:pPr>
              <w:pStyle w:val="pc"/>
            </w:pPr>
            <w:r>
              <w:t>2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08C5">
            <w:pPr>
              <w:pStyle w:val="pc"/>
            </w:pPr>
            <w:r>
              <w:t>3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08C5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08C5">
            <w:pPr>
              <w:pStyle w:val="pr"/>
            </w:pPr>
            <w: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08C5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08C5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08C5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3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08C5">
            <w:pPr>
              <w:pStyle w:val="p"/>
            </w:pPr>
            <w:r>
              <w:t>Наименование ____________________</w:t>
            </w:r>
          </w:p>
          <w:p w:rsidR="00000000" w:rsidRDefault="002708C5">
            <w:pPr>
              <w:pStyle w:val="p"/>
            </w:pPr>
            <w:r>
              <w:t>_________________________________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08C5">
            <w:pPr>
              <w:pStyle w:val="p"/>
            </w:pPr>
            <w:r>
              <w:t>Адрес ___________________________</w:t>
            </w:r>
          </w:p>
          <w:p w:rsidR="00000000" w:rsidRDefault="002708C5">
            <w:pPr>
              <w:pStyle w:val="p"/>
            </w:pPr>
            <w:r>
              <w:t>_________________________________</w:t>
            </w:r>
          </w:p>
        </w:tc>
      </w:tr>
      <w:tr w:rsidR="00000000">
        <w:trPr>
          <w:jc w:val="center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2708C5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2708C5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2708C5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2708C5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2708C5">
            <w:pPr>
              <w:spacing w:line="252" w:lineRule="auto"/>
              <w:rPr>
                <w:rFonts w:eastAsia="Times New Roman"/>
                <w:sz w:val="1"/>
              </w:rPr>
            </w:pPr>
          </w:p>
        </w:tc>
      </w:tr>
    </w:tbl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</w:rPr>
        <w:t>Телефон ________________________________________________</w:t>
      </w:r>
    </w:p>
    <w:p w:rsidR="00000000" w:rsidRDefault="002708C5">
      <w:pPr>
        <w:pStyle w:val="pj"/>
      </w:pPr>
      <w:r>
        <w:rPr>
          <w:rStyle w:val="s0"/>
        </w:rPr>
        <w:t>адрес электронной почты __________________________________</w:t>
      </w:r>
    </w:p>
    <w:p w:rsidR="00000000" w:rsidRDefault="002708C5">
      <w:pPr>
        <w:pStyle w:val="pj"/>
      </w:pPr>
      <w:r>
        <w:rPr>
          <w:rStyle w:val="s0"/>
        </w:rPr>
        <w:t>Исполнитель _____________________________________________</w:t>
      </w:r>
    </w:p>
    <w:p w:rsidR="00000000" w:rsidRDefault="002708C5">
      <w:pPr>
        <w:pStyle w:val="pj"/>
      </w:pPr>
      <w:r>
        <w:rPr>
          <w:rStyle w:val="s0"/>
        </w:rPr>
        <w:t>фамилия, имя и отчество (при его наличии) подпись</w:t>
      </w:r>
    </w:p>
    <w:p w:rsidR="00000000" w:rsidRDefault="002708C5">
      <w:pPr>
        <w:pStyle w:val="pj"/>
      </w:pPr>
      <w:r>
        <w:rPr>
          <w:rStyle w:val="s0"/>
        </w:rPr>
        <w:t>руководитель или лицо, исполняющее его обязанности</w:t>
      </w:r>
    </w:p>
    <w:p w:rsidR="00000000" w:rsidRDefault="002708C5">
      <w:pPr>
        <w:pStyle w:val="pj"/>
      </w:pPr>
      <w:r>
        <w:rPr>
          <w:rStyle w:val="s0"/>
        </w:rPr>
        <w:t>________________________________________________________</w:t>
      </w:r>
    </w:p>
    <w:p w:rsidR="00000000" w:rsidRDefault="002708C5">
      <w:pPr>
        <w:pStyle w:val="pj"/>
      </w:pPr>
      <w:r>
        <w:rPr>
          <w:rStyle w:val="s0"/>
        </w:rPr>
        <w:t>фамилия, имя и отчество (при его наличии</w:t>
      </w:r>
      <w:r>
        <w:rPr>
          <w:rStyle w:val="s0"/>
        </w:rPr>
        <w:t>) подпись</w:t>
      </w:r>
    </w:p>
    <w:p w:rsidR="00000000" w:rsidRDefault="002708C5">
      <w:pPr>
        <w:pStyle w:val="pj"/>
      </w:pPr>
      <w:r>
        <w:rPr>
          <w:rStyle w:val="s0"/>
        </w:rPr>
        <w:t>Место для печати</w:t>
      </w:r>
    </w:p>
    <w:p w:rsidR="00000000" w:rsidRDefault="002708C5">
      <w:pPr>
        <w:pStyle w:val="pj"/>
      </w:pPr>
      <w:r>
        <w:rPr>
          <w:rStyle w:val="s0"/>
        </w:rPr>
        <w:t>(за исключением лиц, являющихся субъектами частного предпринимательства)</w:t>
      </w:r>
    </w:p>
    <w:p w:rsidR="00000000" w:rsidRDefault="002708C5">
      <w:pPr>
        <w:pStyle w:val="pj"/>
      </w:pPr>
      <w:r>
        <w:rPr>
          <w:rStyle w:val="s0"/>
        </w:rPr>
        <w:t>_______________________</w:t>
      </w:r>
    </w:p>
    <w:p w:rsidR="00000000" w:rsidRDefault="002708C5">
      <w:pPr>
        <w:pStyle w:val="pj"/>
      </w:pPr>
      <w:r>
        <w:rPr>
          <w:rStyle w:val="s0"/>
        </w:rPr>
        <w:t>(Печать)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r"/>
      </w:pPr>
      <w:r>
        <w:rPr>
          <w:rStyle w:val="s0"/>
        </w:rPr>
        <w:t>Приложение к форме,</w:t>
      </w:r>
    </w:p>
    <w:p w:rsidR="00000000" w:rsidRDefault="002708C5">
      <w:pPr>
        <w:pStyle w:val="pr"/>
      </w:pPr>
      <w:r>
        <w:rPr>
          <w:rStyle w:val="s0"/>
        </w:rPr>
        <w:t>предназначенной для сбора</w:t>
      </w:r>
    </w:p>
    <w:p w:rsidR="00000000" w:rsidRDefault="002708C5">
      <w:pPr>
        <w:pStyle w:val="pr"/>
      </w:pPr>
      <w:r>
        <w:rPr>
          <w:rStyle w:val="s0"/>
        </w:rPr>
        <w:t>административных данных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c"/>
      </w:pPr>
      <w:r>
        <w:rPr>
          <w:rStyle w:val="s1"/>
        </w:rPr>
        <w:t>Пояснение по заполнению формы, предназначенной для сбора административных</w:t>
      </w:r>
      <w:r>
        <w:rPr>
          <w:rStyle w:val="s1"/>
        </w:rPr>
        <w:br/>
        <w:t>данных на безвозмездной основе «Отчет о поступивших картах-сообщениях»</w:t>
      </w:r>
      <w:r>
        <w:rPr>
          <w:rStyle w:val="s1"/>
        </w:rPr>
        <w:br/>
      </w:r>
      <w:r>
        <w:rPr>
          <w:rStyle w:val="s1"/>
          <w:b w:val="0"/>
          <w:bCs w:val="0"/>
        </w:rPr>
        <w:t>(Индекс: 1-О, ежемесячная)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c"/>
      </w:pPr>
      <w:r>
        <w:rPr>
          <w:rStyle w:val="s1"/>
        </w:rPr>
        <w:t>Глава 1. Общие положения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</w:rPr>
        <w:t>1. Настоящее пояснение определяет единые требования п</w:t>
      </w:r>
      <w:r>
        <w:rPr>
          <w:rStyle w:val="s0"/>
        </w:rPr>
        <w:t>о заполнению формы, предназначенной для сбора административных данных на безвозмездной основе «Отчет о поступивших картах-сообщениях» (далее - Форма).</w:t>
      </w:r>
    </w:p>
    <w:p w:rsidR="00000000" w:rsidRDefault="002708C5">
      <w:pPr>
        <w:pStyle w:val="pj"/>
      </w:pPr>
      <w:r>
        <w:rPr>
          <w:rStyle w:val="s0"/>
        </w:rPr>
        <w:t>2. Форма представляется ежемесячно к 1 числу месяца, следующего за отчетным.</w:t>
      </w:r>
    </w:p>
    <w:p w:rsidR="00000000" w:rsidRDefault="002708C5">
      <w:pPr>
        <w:pStyle w:val="pj"/>
      </w:pPr>
      <w:r>
        <w:rPr>
          <w:rStyle w:val="s0"/>
        </w:rPr>
        <w:t>3. Форма подписывается испол</w:t>
      </w:r>
      <w:r>
        <w:rPr>
          <w:rStyle w:val="s0"/>
        </w:rPr>
        <w:t>нителем и руководителем или лицом, исполняющим его обязанности, с указанием его фамилии и инициалов, а также даты заполнения.</w:t>
      </w:r>
    </w:p>
    <w:p w:rsidR="00000000" w:rsidRDefault="002708C5">
      <w:pPr>
        <w:pStyle w:val="pj"/>
      </w:pPr>
      <w:r>
        <w:rPr>
          <w:rStyle w:val="s0"/>
        </w:rPr>
        <w:t>4. Форма заполняется на казахском и русском языках.</w:t>
      </w:r>
    </w:p>
    <w:p w:rsidR="00000000" w:rsidRDefault="002708C5">
      <w:pPr>
        <w:pStyle w:val="pj"/>
      </w:pPr>
      <w:r>
        <w:rPr>
          <w:rStyle w:val="s0"/>
        </w:rPr>
        <w:t>5. Термины и определения, используемые в форме административных данных:</w:t>
      </w:r>
    </w:p>
    <w:p w:rsidR="00000000" w:rsidRDefault="002708C5">
      <w:pPr>
        <w:pStyle w:val="pj"/>
      </w:pPr>
      <w:r>
        <w:rPr>
          <w:rStyle w:val="s0"/>
        </w:rPr>
        <w:t>1) пер</w:t>
      </w:r>
      <w:r>
        <w:rPr>
          <w:rStyle w:val="s0"/>
        </w:rPr>
        <w:t>едозировка - применение лекарственного препарата за один прием либо в течение дня в количестве, которое превышает рекомендуемую максимальную суточную дозу в соответствии с одобренной общей характеристикой лекарственного средства и инструкцией по медицинско</w:t>
      </w:r>
      <w:r>
        <w:rPr>
          <w:rStyle w:val="s0"/>
        </w:rPr>
        <w:t>му применению;</w:t>
      </w:r>
    </w:p>
    <w:p w:rsidR="00000000" w:rsidRDefault="002708C5">
      <w:pPr>
        <w:pStyle w:val="pj"/>
      </w:pPr>
      <w:r>
        <w:rPr>
          <w:rStyle w:val="s0"/>
        </w:rPr>
        <w:t>2) государственный орган в сфере обращения лекарственных средств и медицинских изделий (далее - государственный орган) - государственный орган, осуществляющий руководство в сфере обращения лекарственных средств и медицинских изделий, контрол</w:t>
      </w:r>
      <w:r>
        <w:rPr>
          <w:rStyle w:val="s0"/>
        </w:rPr>
        <w:t>ь за обращением лекарственных средств и медицинских изделий;</w:t>
      </w:r>
    </w:p>
    <w:p w:rsidR="00000000" w:rsidRDefault="002708C5">
      <w:pPr>
        <w:pStyle w:val="pj"/>
      </w:pPr>
      <w:r>
        <w:rPr>
          <w:rStyle w:val="s0"/>
        </w:rPr>
        <w:t>3) отсутствие эффективности лекарственного средства - отсутствие благоприятного диагностического, лечебного или профилактического действия лекарственного средства для установления характера забол</w:t>
      </w:r>
      <w:r>
        <w:rPr>
          <w:rStyle w:val="s0"/>
        </w:rPr>
        <w:t>евания, его течения, длительности или коррекции состояния, или физиологических функций организма человека в соответствии с показаниями к применению, указанных в инструкции для медицинского применения;</w:t>
      </w:r>
    </w:p>
    <w:p w:rsidR="00000000" w:rsidRDefault="002708C5">
      <w:pPr>
        <w:pStyle w:val="pj"/>
      </w:pPr>
      <w:r>
        <w:rPr>
          <w:rStyle w:val="s0"/>
        </w:rPr>
        <w:t>4) серьезная нежелательная реакция - нежелательная реак</w:t>
      </w:r>
      <w:r>
        <w:rPr>
          <w:rStyle w:val="s0"/>
        </w:rPr>
        <w:t>ция, которая приводит к смерти, представляет угрозу для жизни, требует госпитализации пациента или ее продления, приводит к стойкой либо выраженной нетрудоспособности или инвалидности, к врожденным аномалиям или порокам развития, требует медицинского вмеша</w:t>
      </w:r>
      <w:r>
        <w:rPr>
          <w:rStyle w:val="s0"/>
        </w:rPr>
        <w:t>тельства для предотвращения развития перечисленных состояний, а также любая непреднамеренная подозреваемая передача через лекарственный препарат инфекционного агента;</w:t>
      </w:r>
    </w:p>
    <w:p w:rsidR="00000000" w:rsidRDefault="002708C5">
      <w:pPr>
        <w:pStyle w:val="pj"/>
      </w:pPr>
      <w:r>
        <w:rPr>
          <w:rStyle w:val="s0"/>
        </w:rPr>
        <w:t>5) индивидуальное сообщение о нежелательной реакции - информация, передаваемая в соответс</w:t>
      </w:r>
      <w:r>
        <w:rPr>
          <w:rStyle w:val="s0"/>
        </w:rPr>
        <w:t>твии с установленными формой и содержанием, об одной или нескольких подозреваемых нежелательных реакциях на лекарственный препарат, возникающих у отдельного пациента в определенный момент времени.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c"/>
      </w:pPr>
      <w:r>
        <w:rPr>
          <w:rStyle w:val="s1"/>
        </w:rPr>
        <w:t>Глава 2. Пояснение по заполнению Формы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</w:rPr>
        <w:t>В графе 1 указывается общее количество спонтанных карт-сообщений за отчетный период;</w:t>
      </w:r>
    </w:p>
    <w:p w:rsidR="00000000" w:rsidRDefault="002708C5">
      <w:pPr>
        <w:pStyle w:val="pj"/>
      </w:pPr>
      <w:r>
        <w:rPr>
          <w:rStyle w:val="s0"/>
        </w:rPr>
        <w:t>В графе 2 указывается номера и дата письма о серьезной нежелательной реакции с указанием номера регистрационного удостоверения в госорган от эксп орган, наименования, лека</w:t>
      </w:r>
      <w:r>
        <w:rPr>
          <w:rStyle w:val="s0"/>
        </w:rPr>
        <w:t>рственной формы, дозировки и производителя;</w:t>
      </w:r>
    </w:p>
    <w:p w:rsidR="00000000" w:rsidRDefault="002708C5">
      <w:pPr>
        <w:pStyle w:val="pj"/>
      </w:pPr>
      <w:r>
        <w:rPr>
          <w:rStyle w:val="s0"/>
        </w:rPr>
        <w:t>В графе 3 указывается принятые меры по серьезной нежелательной реакции (осуществляется сбор дополнительной информации, случай закрыт, приказ о приостановлении и другие);</w:t>
      </w:r>
    </w:p>
    <w:p w:rsidR="00000000" w:rsidRDefault="002708C5">
      <w:pPr>
        <w:pStyle w:val="pj"/>
      </w:pPr>
      <w:r>
        <w:rPr>
          <w:rStyle w:val="s0"/>
        </w:rPr>
        <w:t>В графе 4 указывается информация о виде се</w:t>
      </w:r>
      <w:r>
        <w:rPr>
          <w:rStyle w:val="s0"/>
        </w:rPr>
        <w:t>рьезной нежелательной реакции и исходе (анафилактический шок, отсутствие эффекта, ухудшение состояние; госпитализация, смерть, улучшение и другие).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</w:rPr>
        <w:t> </w:t>
      </w:r>
    </w:p>
    <w:p w:rsidR="00000000" w:rsidRDefault="002708C5">
      <w:pPr>
        <w:pStyle w:val="pj"/>
      </w:pPr>
      <w:r>
        <w:rPr>
          <w:rStyle w:val="s0"/>
        </w:rPr>
        <w:t> </w:t>
      </w:r>
    </w:p>
    <w:sectPr w:rsidR="000000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8C5" w:rsidRDefault="002708C5" w:rsidP="002708C5">
      <w:r>
        <w:separator/>
      </w:r>
    </w:p>
  </w:endnote>
  <w:endnote w:type="continuationSeparator" w:id="0">
    <w:p w:rsidR="002708C5" w:rsidRDefault="002708C5" w:rsidP="0027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8C5" w:rsidRDefault="002708C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8C5" w:rsidRDefault="002708C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8C5" w:rsidRDefault="002708C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8C5" w:rsidRDefault="002708C5" w:rsidP="002708C5">
      <w:r>
        <w:separator/>
      </w:r>
    </w:p>
  </w:footnote>
  <w:footnote w:type="continuationSeparator" w:id="0">
    <w:p w:rsidR="002708C5" w:rsidRDefault="002708C5" w:rsidP="00270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8C5" w:rsidRDefault="002708C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8C5" w:rsidRDefault="002708C5" w:rsidP="002708C5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708C5" w:rsidRDefault="002708C5" w:rsidP="002708C5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26 ноября 2025 года № 153 «О внесении изменений в приказ Министра здравоохранения Республики Казахстан от 23 декабря 2020 года № ҚР ДСМ-320/2020 «Об утверждении правил проведения фармаконадзора и мониторинга безопасности, качества и эффективности медицинских изделий» (не введен в действие)</w:t>
    </w:r>
  </w:p>
  <w:p w:rsidR="002708C5" w:rsidRPr="002708C5" w:rsidRDefault="002708C5" w:rsidP="002708C5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13.12.2025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8C5" w:rsidRDefault="002708C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708C5"/>
    <w:rsid w:val="0027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2708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08C5"/>
    <w:rPr>
      <w:rFonts w:ascii="Tahoma" w:eastAsiaTheme="minorEastAsi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708C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708C5"/>
    <w:rPr>
      <w:rFonts w:ascii="Times New Roman" w:eastAsiaTheme="minorEastAsia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708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708C5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2708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08C5"/>
    <w:rPr>
      <w:rFonts w:ascii="Tahoma" w:eastAsiaTheme="minorEastAsi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708C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708C5"/>
    <w:rPr>
      <w:rFonts w:ascii="Times New Roman" w:eastAsiaTheme="minorEastAsia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708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708C5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5548314" TargetMode="External"/><Relationship Id="rId13" Type="http://schemas.openxmlformats.org/officeDocument/2006/relationships/image" Target="http://192.168.0.105/api/DocumentObject/GetImageAsync?ImageId=44728592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online.zakon.kz/Document/?doc_id=35548314" TargetMode="External"/><Relationship Id="rId12" Type="http://schemas.openxmlformats.org/officeDocument/2006/relationships/hyperlink" Target="http://online.zakon.kz/Document/?doc_id=32642846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264284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online.zakon.kz/Document/?doc_id=35548314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554831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1359</Words>
  <Characters>7749</Characters>
  <Application>Microsoft Office Word</Application>
  <DocSecurity>0</DocSecurity>
  <Lines>64</Lines>
  <Paragraphs>18</Paragraphs>
  <ScaleCrop>false</ScaleCrop>
  <Company/>
  <LinksUpToDate>false</LinksUpToDate>
  <CharactersWithSpaces>9090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2025-12-03T07:41:00Z</dcterms:created>
  <dcterms:modified xsi:type="dcterms:W3CDTF">2025-12-03T07:41:00Z</dcterms:modified>
</cp:coreProperties>
</file>