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CD" w:rsidRPr="00DC7062" w:rsidRDefault="009A4BCD" w:rsidP="0079143B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DC7062">
        <w:rPr>
          <w:rFonts w:ascii="Arial" w:hAnsi="Arial" w:cs="Arial"/>
          <w:b/>
          <w:sz w:val="20"/>
          <w:szCs w:val="20"/>
        </w:rPr>
        <w:t xml:space="preserve">Приказ Министра здравоохранения Республики Казахстан № ҚР ДСМ-236/2020 </w:t>
      </w:r>
      <w:r w:rsidR="00DC7062" w:rsidRPr="00DC7062">
        <w:rPr>
          <w:rFonts w:ascii="Arial" w:hAnsi="Arial" w:cs="Arial"/>
          <w:b/>
          <w:sz w:val="20"/>
          <w:szCs w:val="20"/>
        </w:rPr>
        <w:t>от 8 декабря 2020 года</w:t>
      </w:r>
    </w:p>
    <w:p w:rsidR="009A4BCD" w:rsidRPr="00DC7062" w:rsidRDefault="009A4BCD" w:rsidP="0079143B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DC7062">
        <w:rPr>
          <w:rFonts w:ascii="Arial" w:hAnsi="Arial" w:cs="Arial"/>
          <w:i/>
          <w:sz w:val="20"/>
          <w:szCs w:val="20"/>
        </w:rPr>
        <w:t>Зарегистрирован в Министерстве юстиц</w:t>
      </w:r>
      <w:bookmarkStart w:id="0" w:name="_GoBack"/>
      <w:bookmarkEnd w:id="0"/>
      <w:r w:rsidRPr="00DC7062">
        <w:rPr>
          <w:rFonts w:ascii="Arial" w:hAnsi="Arial" w:cs="Arial"/>
          <w:i/>
          <w:sz w:val="20"/>
          <w:szCs w:val="20"/>
        </w:rPr>
        <w:t>ии Республики Казахстан 11 декабря 2020 года № 21760</w:t>
      </w:r>
    </w:p>
    <w:p w:rsidR="009A4BCD" w:rsidRPr="00DC7062" w:rsidRDefault="009A4BCD" w:rsidP="0079143B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DC7062">
        <w:rPr>
          <w:rFonts w:ascii="Arial" w:hAnsi="Arial" w:cs="Arial"/>
          <w:b/>
          <w:sz w:val="20"/>
          <w:szCs w:val="20"/>
        </w:rPr>
        <w:t>Об утверждении правил и условий проведения донорства половых клеток, тканей репродуктивных органов</w:t>
      </w:r>
    </w:p>
    <w:p w:rsidR="009A4BCD" w:rsidRPr="008E3E27" w:rsidRDefault="009A4BCD" w:rsidP="0079143B">
      <w:pPr>
        <w:pStyle w:val="a5"/>
        <w:jc w:val="both"/>
        <w:rPr>
          <w:rFonts w:ascii="Arial" w:hAnsi="Arial" w:cs="Arial"/>
          <w:sz w:val="20"/>
          <w:szCs w:val="20"/>
        </w:rPr>
      </w:pPr>
      <w:r w:rsidRPr="008E3E27">
        <w:rPr>
          <w:rFonts w:ascii="Arial" w:hAnsi="Arial" w:cs="Arial"/>
          <w:sz w:val="20"/>
          <w:szCs w:val="20"/>
        </w:rPr>
        <w:t xml:space="preserve">В соответствии с пунктом 3 статьи 148 Кодекса Республики Казахстан от 7 июля 2020 года "О здоровье народа и системе здравоохранения", </w:t>
      </w:r>
      <w:r w:rsidRPr="0079143B">
        <w:rPr>
          <w:rFonts w:ascii="Arial" w:hAnsi="Arial" w:cs="Arial"/>
          <w:b/>
          <w:sz w:val="20"/>
          <w:szCs w:val="20"/>
        </w:rPr>
        <w:t>ПРИКАЗЫВАЮ</w:t>
      </w:r>
      <w:r w:rsidRPr="008E3E27">
        <w:rPr>
          <w:rFonts w:ascii="Arial" w:hAnsi="Arial" w:cs="Arial"/>
          <w:sz w:val="20"/>
          <w:szCs w:val="20"/>
        </w:rPr>
        <w:t>:</w:t>
      </w:r>
    </w:p>
    <w:p w:rsidR="009A4BCD" w:rsidRPr="008E3E27" w:rsidRDefault="009A4BCD" w:rsidP="0079143B">
      <w:pPr>
        <w:pStyle w:val="a5"/>
        <w:jc w:val="both"/>
        <w:rPr>
          <w:rFonts w:ascii="Arial" w:hAnsi="Arial" w:cs="Arial"/>
          <w:sz w:val="20"/>
          <w:szCs w:val="20"/>
        </w:rPr>
      </w:pPr>
      <w:r w:rsidRPr="008E3E27">
        <w:rPr>
          <w:rFonts w:ascii="Arial" w:hAnsi="Arial" w:cs="Arial"/>
          <w:sz w:val="20"/>
          <w:szCs w:val="20"/>
        </w:rPr>
        <w:t>1. Утвердить прилагаемые правила и условия проведения донорства половых клеток, тканей репродуктивных органов согласно приложению, к настоящему приказу.</w:t>
      </w:r>
    </w:p>
    <w:p w:rsidR="009A4BCD" w:rsidRPr="008E3E27" w:rsidRDefault="009A4BCD" w:rsidP="0079143B">
      <w:pPr>
        <w:pStyle w:val="a5"/>
        <w:jc w:val="both"/>
        <w:rPr>
          <w:rFonts w:ascii="Arial" w:hAnsi="Arial" w:cs="Arial"/>
          <w:sz w:val="20"/>
          <w:szCs w:val="20"/>
        </w:rPr>
      </w:pPr>
      <w:r w:rsidRPr="008E3E27"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5" w:anchor="z1" w:history="1">
        <w:r w:rsidRPr="008E3E27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 w:rsidRPr="008E3E27">
        <w:rPr>
          <w:rFonts w:ascii="Arial" w:hAnsi="Arial" w:cs="Arial"/>
          <w:sz w:val="20"/>
          <w:szCs w:val="20"/>
        </w:rPr>
        <w:t xml:space="preserve"> исполняющего обязанности Министра здравоохранения Республики Казахстан от 30 октября 2009 года № 624 "Об утверждении Правил проведения донорства и хранения половых клеток" (зарегистрированный в Реестре государственной регистрации нормативных правовых актов под № 5903, опубликованный в собрании актов центральных исполнительных и иных центральных государственных органов Республики Казахстан № 2, 2010 года).</w:t>
      </w:r>
    </w:p>
    <w:p w:rsidR="009A4BCD" w:rsidRPr="008E3E27" w:rsidRDefault="009A4BCD" w:rsidP="0079143B">
      <w:pPr>
        <w:pStyle w:val="a5"/>
        <w:jc w:val="both"/>
        <w:rPr>
          <w:rFonts w:ascii="Arial" w:hAnsi="Arial" w:cs="Arial"/>
          <w:sz w:val="20"/>
          <w:szCs w:val="20"/>
        </w:rPr>
      </w:pPr>
      <w:r w:rsidRPr="008E3E27">
        <w:rPr>
          <w:rFonts w:ascii="Arial" w:hAnsi="Arial" w:cs="Arial"/>
          <w:sz w:val="20"/>
          <w:szCs w:val="20"/>
        </w:rPr>
        <w:t>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9A4BCD" w:rsidRPr="008E3E27" w:rsidRDefault="009A4BCD" w:rsidP="0079143B">
      <w:pPr>
        <w:pStyle w:val="a5"/>
        <w:jc w:val="both"/>
        <w:rPr>
          <w:rFonts w:ascii="Arial" w:hAnsi="Arial" w:cs="Arial"/>
          <w:sz w:val="20"/>
          <w:szCs w:val="20"/>
        </w:rPr>
      </w:pPr>
      <w:r w:rsidRPr="008E3E27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9A4BCD" w:rsidRPr="008E3E27" w:rsidRDefault="009A4BCD" w:rsidP="0079143B">
      <w:pPr>
        <w:pStyle w:val="a5"/>
        <w:jc w:val="both"/>
        <w:rPr>
          <w:rFonts w:ascii="Arial" w:hAnsi="Arial" w:cs="Arial"/>
          <w:sz w:val="20"/>
          <w:szCs w:val="20"/>
        </w:rPr>
      </w:pPr>
      <w:r w:rsidRPr="008E3E27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8E3E27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8E3E27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9A4BCD" w:rsidRPr="008E3E27" w:rsidRDefault="009A4BCD" w:rsidP="0079143B">
      <w:pPr>
        <w:pStyle w:val="a5"/>
        <w:jc w:val="both"/>
        <w:rPr>
          <w:rFonts w:ascii="Arial" w:hAnsi="Arial" w:cs="Arial"/>
          <w:sz w:val="20"/>
          <w:szCs w:val="20"/>
        </w:rPr>
      </w:pPr>
      <w:r w:rsidRPr="008E3E27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9A4BCD" w:rsidRPr="008E3E27" w:rsidRDefault="009A4BCD" w:rsidP="0079143B">
      <w:pPr>
        <w:pStyle w:val="a5"/>
        <w:jc w:val="both"/>
        <w:rPr>
          <w:rFonts w:ascii="Arial" w:hAnsi="Arial" w:cs="Arial"/>
          <w:sz w:val="20"/>
          <w:szCs w:val="20"/>
        </w:rPr>
      </w:pPr>
      <w:r w:rsidRPr="008E3E27">
        <w:rPr>
          <w:rFonts w:ascii="Arial" w:hAnsi="Arial" w:cs="Arial"/>
          <w:sz w:val="20"/>
          <w:szCs w:val="20"/>
        </w:rPr>
        <w:t>4. Контроль исполнения настоящего приказа возложить на курирующего вице-министра здравоохранения Республики Казахстан.</w:t>
      </w:r>
    </w:p>
    <w:p w:rsidR="009A4BCD" w:rsidRPr="008E3E27" w:rsidRDefault="009A4BCD" w:rsidP="0079143B">
      <w:pPr>
        <w:pStyle w:val="a5"/>
        <w:jc w:val="both"/>
        <w:rPr>
          <w:rFonts w:ascii="Arial" w:hAnsi="Arial" w:cs="Arial"/>
          <w:sz w:val="20"/>
          <w:szCs w:val="20"/>
        </w:rPr>
      </w:pPr>
      <w:r w:rsidRPr="008E3E27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9A4BCD" w:rsidRPr="0079143B" w:rsidTr="009A4BCD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9A4BCD" w:rsidRPr="0079143B" w:rsidRDefault="009A4BCD" w:rsidP="0079143B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3"/>
            <w:bookmarkEnd w:id="1"/>
            <w:r w:rsidRPr="0079143B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79143B" w:rsidRPr="0079143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9143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9A4BCD" w:rsidRPr="0079143B" w:rsidRDefault="009A4BCD" w:rsidP="0079143B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143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А. Цой </w:t>
            </w:r>
          </w:p>
        </w:tc>
      </w:tr>
    </w:tbl>
    <w:p w:rsidR="009A4BCD" w:rsidRPr="009A4BCD" w:rsidRDefault="009A4BCD" w:rsidP="0079143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A4BCD" w:rsidRPr="009A4BCD" w:rsidTr="009A4BC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4"/>
            <w:bookmarkEnd w:id="2"/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декабря 2020 года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ДСМ-236/2020</w:t>
            </w:r>
          </w:p>
        </w:tc>
      </w:tr>
    </w:tbl>
    <w:p w:rsidR="009A4BCD" w:rsidRPr="009A4BCD" w:rsidRDefault="009A4BCD" w:rsidP="007914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и условия проведения донорства половых клеток, тканей репродуктивных органов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Настоящее правила и условия проведения донорства половых клеток, тканей репродуктивных органов в Республике Казахстан (далее – Правила и условия) разработаны в соответствии с </w:t>
      </w:r>
      <w:r w:rsidRPr="007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</w:t>
      </w: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148 Кодекса Республики Казахстан от 7 июля 2020 года "О здоровье народа и системе здравоохранения" (далее – Кодекс) и определяют порядок и условия проведения донорства половых клеток, тканей репродуктивных органов в Республике Казахстан.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Доноры половых клеток предоставляют свои половых клеток (сперму, ооциты) другим лицам для преодоления бесплодия и не берут на себя родительские обязанности по отношению к будущему ребенку.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Рождение 10 (десяти) детей от одного донора является основанием для прекращения использования этого донора для реципиентов.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4. Донорство половых клеток, тканей репродуктивных органов осуществляется на добровольной основе. 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Донорство осуществляется платно и безвозмездно, анонимно и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неанонимно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Донорство половых клеток, тканей репродуктивных органов состоящим (состоящей) в браке (супружестве), осуществляется с письменного согласия обоих супругов.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Использование половых клеток, тканей репродуктивных органов реципиентом, состоящим (состоящей) в браке (супружестве), осуществляется с письменного согласия обоих супругов.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При совместном обращении мужчины и женщины, как состоящих, так и не состоящих в браке (супружестве), сперма мужчины не подвергается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криоконсервации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При проведении заготовки донорских половых клеток, между донором и медицинской организацией, осуществляющей заготовку половых клеток, заключается договор в письменной форме о заготовке донорских половых клеток, с соблюдением требований гражданского законодательства Республики Казахстан.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Проведение донорства половых клеток, тканей репродуктивных органов у донора осуществляется при соблюдении следующих условий: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донор свободно и сознательно в письменной форме выражает информированное согласие на проведение донорства половых клеток, тканей репродуктивных органов;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донор ооцитов информируется в письменной форме об осложнениях для ее здоровья в связи с предстоящим оперативным вмешательством;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донор проходит медико-генетическое обследование и имеется заключение врача-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репродуктолога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врача-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уроандролога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возможности проведения донорства половых клеток, тканей репродуктивных органов.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Донорство ооцитов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Донорство ооцитов осуществляется при наличии письменного информированного согласия донора на проведение индукции суперовуляции либо в естественном цикле.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Требования к донорам половых клеток, тканей репродуктивных органов установлены </w:t>
      </w:r>
      <w:r w:rsidRPr="007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</w:t>
      </w: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148 Кодекса.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Доноры ооцитов проходят медико-генетические обследования в объеме, согласно </w:t>
      </w:r>
      <w:r w:rsidRPr="007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1</w:t>
      </w: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и условиям.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Проведение экстракорпорального оплодотворения (далее – ЭКО) с использованием донорских ооцитов проводится по показаниям, согласно </w:t>
      </w:r>
      <w:r w:rsidRPr="007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2</w:t>
      </w: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и условиям. 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ЭКО с использованием донорских ооцитов не осуществляется при противопоказаниях, согласно </w:t>
      </w:r>
      <w:r w:rsidRPr="007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3</w:t>
      </w: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и условиям.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16. Обследование мужчины и женщины (реципиентов), как состоящих, так и не состоящих в браке (супружестве) проводятся в объеме, согласно </w:t>
      </w:r>
      <w:r w:rsidRPr="007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4</w:t>
      </w: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и условиям. 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Работу с донорами ведет врач акушер-гинеколог (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репродуктолог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проводит медицинский осмотр донора перед каждой процедурой забора донорского материала, осуществляет контроль своевременности проведения и результатов лабораторных исследований в соответствии с календарным планом обследования.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Донорство ооцитов проводится по следующему алгоритму: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выбор донора ооцитов (по индивидуальным критериям отбора и предпочтениям реципиента);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обследование донора и реципиента;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синхронизация менструальных циклов у донора и реципиента с помощью медикаментов в случае переноса эмбрионов в полость матки реципиента в стимулированном цикле донора;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в процедуре переноса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криоконсервированных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эмбрионов синхронизация циклов не проводится;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процедура забора ооцитов для использования реципиентам или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криоконсервация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банка половых клеток.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Все документы по донорству ооцитов хранятся в сейфе, как документы для служебного пользования.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Донорство спермы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Донорская сперма используется при проведении вспомогательных репродуктивных методов и технологий (далее - ВРТ).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Перед сдачей спермы требуется половое воздержание в течение 3-5 дней. Получение спермы осуществляется путем мастурбации.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Эякулят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собирают в специальную стерильную, предварительно промаркированную емкость. Данная процедура проводится в специальном помещении, имеющем отдельный вход, соответствующий интерьер, санитарный узел с умывальником.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При отсутствии донорской спермы в медицинской организации, либо по желанию пациента, используется донорская сперма из других организаций, имеющих банк донорской спермы.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Применяется только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криоконсервированная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донорская сперма после получения повторных (через 6 месяцев после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криоконсервации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отрицательных результатов анализов на ВИЧ, сифилис и гепатиты В и С.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Применение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криоконсервированной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(размороженной) спермы обеспечивает: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проведение мероприятий по профилактике передачи ВИЧ, сифилиса, гепатита и других инфекций, передающихся половым путем;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исключение возможности встречи донора и реципиента.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Требования, предъявляемые к донорской сперме: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объем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эякулята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1,5 миллилитров (далее - мл);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концентрация сперматозоидов в 1 мл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эякулята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миллионов и более; общее количество сперматозоидов во всем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эякуляте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22,5 миллионов и более;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доля прогрессивно-подвижных форм (А+В) 32% и более;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доля морфологически-нормальных форм 4% и более (по строгим критериям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Крюгера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14% и более);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криотолерантность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тест, определяющий иммунокомпетентные тела поверхности сперматозоида (МАР-тест) – по показаниям.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Доноры спермы проходят медицинские обследования в объеме, согласно </w:t>
      </w:r>
      <w:r w:rsidRPr="007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5</w:t>
      </w: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и условиям.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27. ЭКО с использованием донорской спермы проводится по показаниям, согласно </w:t>
      </w:r>
      <w:r w:rsidRPr="007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6</w:t>
      </w: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и условиям.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Индивидуальная карта донора заполняется и кодируется врачом. Схема кодирования – свободная. Заявление донора и его индивидуальная карта хранятся в сейфе, как документы для служебного пользования.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Работу с донорами ведут врач-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уроандролог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врач-эмбриолог. Врач организует проведение медицинских осмотров донора, осуществляет контроль своевременности проведения и результатов лабораторных исследований в соответствии с календарным планом обследования.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 Врач-эмбриолог производит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криоконсервацию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размораживание спермы, оценивает качество спермы до и после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криоконсервации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необходимый режим хранения спермы, ведет учет материала.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Регистрация донорской спермы осуществляется в журнале поступления донорской спермы и в карте прихода-расхода спермы донора.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Донорство эмбрионов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32. Донорами эмбрионов являются пациенты процедуры ЭКО, у которых остаются в банке неиспользованные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криоконсервированные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эмбрионы. По свободному решению и письменному информированному согласию пациентов, эти эмбрионы утилизируются, либо безвозмездно передаются медицинской организации. Переданные в медицинскую организацию эмбрионы используются для безвозмездной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донации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бесплодной супружеской паре, женщинам (реципиентам), не состоящим в браке (супружестве).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33. Эмбрионы для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донации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получают в результате оплодотворения донорских ооцитов спермой донора.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34. Пациенты информируются о том, что результативность процедуры с использованием оставшихся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криоконсервированных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эмбрионов пациентов процедуры ЭКО ниже, чем при использовании эмбрионов, полученных от донорских половых клеток. Реципиентам предоставляют фенотипический портрет доноров.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35. ЭКО с использованием донорских эмбрионов проводится по показаниям, согласно </w:t>
      </w:r>
      <w:r w:rsidRPr="007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7</w:t>
      </w: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и условиям.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A4BCD" w:rsidRPr="009A4BCD" w:rsidTr="009A4BC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71"/>
            <w:bookmarkEnd w:id="3"/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 условиям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донорства 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половых клеток, тканей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репродуктивных органов</w:t>
            </w:r>
          </w:p>
        </w:tc>
      </w:tr>
    </w:tbl>
    <w:p w:rsidR="009A4BCD" w:rsidRPr="009A4BCD" w:rsidRDefault="009A4BCD" w:rsidP="007914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Медико-генетические обследования для доноров ооцитов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Определение группы крови и резус - фактора (однократно).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Консультация терапевта и заключение о состоянии здоровья и отсутствии противопоказаний к оперативному вмешательству (перед каждой процедурой).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Консультация психиатра, нарколога (1 раз в год).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Консультация генетика, медико-генетическое обследование (клинико-генеалогическое исследование, цитогенетическое исследование) клеток периферической крови (кариотип) (однократно).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Молекулярно-генетический анализ на носительство мутаций в генах наиболее частых наследственных заболеваний (определение мутаций гена PAH при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фенилкетонурии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дезоксирибонуклеиновые кислоты (далее-ДНК) молекулярно-генетическим методом, определение мутаций гена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муковисцидоза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ДНК молекулярно-генетическим методом) (по показаниям).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Исследование мочи общеклиническое (общий анализ мочи) (перед каждой процедурой).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Электрокардиографическое исследование с расшифровкой (перед каждой процедурой).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Диагностическая флюорография (1 проекция) (срок действия - 12 месяцев).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Общий анализ крови на анализаторе с дифференцировкой 5 классов клеток и измерение скорости оседания эритроцитов (СОЭ) в крови методом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Вестергрена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(перед каждой процедурой);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Определение антител к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вируса гепатита B в сыворотке крови иммуноферментным методом (далее – ИФА-метод)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Определение суммарных антител к вирусу гепатита C в сыворотке крови ИФА-методом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постановка реакции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Вассермана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сыворотке крови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13. Определение суммарных антител к ВИЧ-1,2 и антигена p24 в сыворотке крови ИФА-методом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Определение степени чистоты гинекологического мазка (перед каждой процедурой).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Биохимический анализ крови (определение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аланинаминотрансферазы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сыворотке крови, определение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аспартатаминотрансферазы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сыворотке крови, определение общего билирубина в сыворотке крови, определение глюкозы в сыворотке крови, определение общего белка в сыворотке крови, определение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сыворотке крови, определение мочевины в сыворотке крови (срок действия – 1 месяц).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Определение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коагулограммы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протромбинового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(ПВ) с последующим расчетом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протромбинового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индекса (ПТИ) и международного нормализованного отношения (МНО) в плазме крови (ПВ-ПТИ-МНО), определение активированного частичного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тромбопластинового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(АЧТВ) в плазме крови, определение фибриногена в плазме крови (срок действия – 1 месяц).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Цитологическое исследование мазка из шейки матки ПАП-тест (срок действия - 12 месяцев).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Обнаружение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Chlamydiatrachomatis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хламидиатрахоматис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биологическом материале методом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полимеразно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-цепной реакции (далее- ПЦР)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Обнаружение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Neisseria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gonorrhea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нейссериа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гонореа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биологическом материале методом ПЦР, обнаружение вирус простого герпеса 1 и 2 типов в биологическом материале методом ПЦР качественное, обнаружение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цитомегаловируса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(ВПГ-V) в биологическом материале методом ПЦР качественное (срок действия -3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Определение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, М к возбудителю краснухи в сыворотке крови ИФА-методом (однократно при отсутствии подтверждающих данных о прививке, либо перенесенном заболеваний) (срок действия -12 месяцев).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A4BCD" w:rsidRPr="009A4BCD" w:rsidTr="009A4BC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93"/>
            <w:bookmarkEnd w:id="4"/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 условиям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донорства 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половых клеток, тканей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репродуктивных органов</w:t>
            </w:r>
          </w:p>
        </w:tc>
      </w:tr>
    </w:tbl>
    <w:p w:rsidR="009A4BCD" w:rsidRPr="009A4BCD" w:rsidRDefault="009A4BCD" w:rsidP="007914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Показания для проведения экстракорпорального оплодотворения с использованием донорских ооцитов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Отсутствие ооцитов, обусловленное естественной менопаузой.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Синдром преждевременного истощения яичников, синдром резистентных яичников, состояние после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овариоэктомии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радиотерапии или химиотерапии.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Аномалии развития половых органов, отсутствие яичников.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Функциональная неполноценность ооцитов у женщин с наследственными заболеваниями, сцепленными с полом.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5. Неудачные повторные попытки экстракорпорального оплодотворения при недостаточном ответе яичников на индукцию суперовуляции, неоднократном получении эмбрионов низкого качества, перенос которых не приводил к наступлению беременности.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Резус - конфликт между мужчины и женщины.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Аномалии в кариотипе у женщины.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Близкородственные (кровнородственные) браки с рождением детей с пороками развития.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Соматические заболевания, при которых противопоказана стимуляция яичников.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A4BCD" w:rsidRPr="009A4BCD" w:rsidTr="009A4BC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104"/>
            <w:bookmarkEnd w:id="5"/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 условиям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донорства 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половых клеток, тканей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репродуктивных органов</w:t>
            </w:r>
          </w:p>
        </w:tc>
      </w:tr>
    </w:tbl>
    <w:p w:rsidR="009A4BCD" w:rsidRPr="009A4BCD" w:rsidRDefault="009A4BCD" w:rsidP="007914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Противопоказания для экстракорпорального оплодотворения с использованием донорских ооцитов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Соматические и психические заболевания, являющиеся противопоказаниями для вынашивания беременности и родов.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Врожденные пороки развития или приобретенные деформации полости матки, при которых невозможна имплантация эмбрионов или вынашивание беременности.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Опухоли яичников.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Доброкачественные опухоли матки, требующие оперативного лечения.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Острые воспалительные заболевания любой локализации.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Злокачественные новообразования любой локализации.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A4BCD" w:rsidRPr="009A4BCD" w:rsidTr="009A4BC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112"/>
            <w:bookmarkEnd w:id="6"/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 условиям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донорства 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половых клеток, тканей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репродуктивных органов</w:t>
            </w:r>
          </w:p>
        </w:tc>
      </w:tr>
    </w:tbl>
    <w:p w:rsidR="009A4BCD" w:rsidRPr="009A4BCD" w:rsidRDefault="009A4BCD" w:rsidP="007914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Объем обследований мужчины и женщины (реципиентов), как состоящих, так и не состоящих в браке (супружестве)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Определение группы крови и резус - фактора (однократно).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Консультация терапевта и заключение о состоянии здоровья и отсутствии противопоказаний к оперативному вмешательству (1 раз в год).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Консультация психиатра, консультация нарколога (по показаниям).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4. Консультация генетика, медико-генетическое (клинико-генеалогическое исследование, цитогенетическое исследование клеток периферической крови (кариотип) (однократно, по показаниям).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Молекулярно-генетический анализ на носительство мутаций в генах наиболее частых наследственных заболеваний (определение мутаций гена PAH при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фенилкетонурии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дезоксирибонуклеиновой кислоты</w:t>
      </w:r>
      <w:proofErr w:type="gram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(далее-ДНК) молекулярно-генетический методом, определение мутаций гена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муковисцидоза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ДНК молекулярно-генетический методом) – по показаниям.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Определение степени чистоты гинекологического мазка (перед каждой процедурой).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Исследование мочи общеклиническое (общий анализ мочи) (перед каждой процедурой).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Электрокардиографическое исследование с расшифровкой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Диагностическая флюорография (1 проекция) (срок действия - 12 месяцев).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Биохимический анализ крови (определение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аланинаминотрансферазы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сыворотке крови, определение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аспартатаминотрансферазы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сыворотке крови, определение общего билирубина в сыворотке </w:t>
      </w:r>
      <w:proofErr w:type="spellStart"/>
      <w:proofErr w:type="gram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крови,определение</w:t>
      </w:r>
      <w:proofErr w:type="spellEnd"/>
      <w:proofErr w:type="gram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глюкозы в сыворотке крови, определение общего белка в сыворотке крови,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определениекреатинина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сыворотке крови, определение мочевины в сыворотке крови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Определение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коагулограммы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протромбинового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(ПВ) с последующим расчетом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протромбинового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индекса (ПТИ) и международного нормализованного отношения (МНО) в плазме крови (ПВ-ПТИ-МНО), определение активированного частичного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тромбопластинового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(АЧТВ) в плазме крови, определение фибриногена в плазме крови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Определение антител к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вируса гепатита B в сыворотке крови иммуноферментным методом (далее – ИФА-метод)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Определение суммарных антител к вирусу гепатита C в сыворотке крови ИФА-методом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Постановка реакции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Вассермана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сыворотке крови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Определение суммарных антител к ВИЧ-1,2 и антигена p24 в сыворотке крови ИФА-методом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Цитологическое исследование мазка из шейки матки ПАП-тест (срок действия - 12 месяцев).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Обнаружение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Chlamydiatrachomatis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хламидиатрахоматис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биологическом материале методом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полимеразно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-цепной реакции (далее- ПЦР)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Обнаружение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Neisseriagonorrhea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нейссериа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гонореа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биологическом материале методом ПЦР, обнаружение вирус простого герпеса 1 и 2 типов в биологическом материале методом ПЦР качественное, обнаружение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цитомегаловируса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(ВПГ-V) в биологическом материале методом ПЦР качественное (срок действия -3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19. Определение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, М к возбудителю краснухи в сыворотке крови ИФА-методом (однократно при отсутствии подтверждающих данных о прививке, либо перенесенном заболеваний) (срок действия -12 месяцев).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общий анализ крови на анализаторе с дифференцировкой 5 классов клеток и измерение скорости оседания эритроцитов (СОЭ) в крови методом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Вестергрена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(перед каждой процедурой).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A4BCD" w:rsidRPr="009A4BCD" w:rsidTr="009A4BC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134"/>
            <w:bookmarkEnd w:id="7"/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 условиям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донорства 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половых клеток, тканей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репродуктивных органов</w:t>
            </w:r>
          </w:p>
        </w:tc>
      </w:tr>
    </w:tbl>
    <w:p w:rsidR="009A4BCD" w:rsidRPr="009A4BCD" w:rsidRDefault="009A4BCD" w:rsidP="007914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Объем обследований доноров спермы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Определение группы крови и резус-фактора (однократно).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Консультация терапевта (1 раз в год).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Консультация уролога -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андролога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раз в 6 месяцев).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Консультация психиатра (1 раз в год).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Консультациягенетика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медико-генетическое обследование (клинико-генеалогическое исследование, цитогенетическое исследование клеток периферической крови (кариотип) (однократно).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Молекулярно-генетический анализ на носительство мутаций в генах наиболее частых наследственных заболеваний (определение мутаций гена PAH при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фенилкетонурии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дезоксирибонуклеиновой кислоты</w:t>
      </w:r>
      <w:proofErr w:type="gram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ДНК) молекулярно-генетический методом, определение мутаций гена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муковисцидоза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ДНК молекулярно-генетический методом) – по показаниям.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Определение антител к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вируса гепатита B в сыворотке крови иммуноферментным методом (далее – ИФА-метод), определение суммарных антител к вирусу гепатита C в сыворотке крови ИФА-методом, постановка реакции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Вассермана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сыворотке крови, определение суммарных антител к ВИЧ-1,2 и антигена p24 в сыворотке крови ИФА-методом (перед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криоконсервацией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3 и 6 месяцев после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криоконсервации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Обнаружение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Chlamydiatrachomatis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хламидиатрахоматис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)в биологическом материале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полимеразно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цепной реакции (далее – ПЦР)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Обнаружение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Neisseriagonorrhea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нейссериагонореа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биологическом материале методом ПЦР, обнаружение вирус простого герпеса 1 и 2 типов в биологическом материале методом ПЦР качественное, обнаружение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цитомегаловируса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(ВПГ-V) в биологическом материале методом ПЦР качественное (срок действия - 3 месяца).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Исследование урогенитального мазка общеклиническое (перед каждой процедурой).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Консультация нарколога (1 раз в год).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A4BCD" w:rsidRPr="009A4BCD" w:rsidTr="009A4BC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147"/>
            <w:bookmarkEnd w:id="8"/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 условиям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донорства 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половых клеток, тканей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репродуктивных органов</w:t>
            </w:r>
          </w:p>
        </w:tc>
      </w:tr>
    </w:tbl>
    <w:p w:rsidR="009A4BCD" w:rsidRPr="009A4BCD" w:rsidRDefault="009A4BCD" w:rsidP="007914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Показания для проведения экстракорпорального оплодотворения с использованием донорской спермы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Азооспермия,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олигоастенозооспермия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тяжелой степени,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некроспермия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акинозооспермия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глобулозооспермия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Состояние после радиотерапии или химиотерапии.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Аномалии развития репродуктивной системы.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Отсутствие или функциональная неполноценность сперматозоидов у мужчин с наследственными заболеваниями, сцепленными с полом.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Неудачные повторные попытки экстракорпорального оплодотворения при высоком индексе фрагментации ДНК (</w:t>
      </w:r>
      <w:proofErr w:type="spellStart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дезоксирибонуклеи́новой</w:t>
      </w:r>
      <w:proofErr w:type="spellEnd"/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кислоты) сперматозоидов и неоднократном получении эмбрионов низкого качества, перенос которых не приводил к наступлению беременности.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Резус - конфликт между мужчины и женщины.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Аномалии в кариотипе у мужчины.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A4BCD" w:rsidRPr="009A4BCD" w:rsidTr="009A4BC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156"/>
            <w:bookmarkEnd w:id="9"/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 условиям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донорства 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половых клеток, тканей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репродуктивных органов</w:t>
            </w:r>
          </w:p>
        </w:tc>
      </w:tr>
    </w:tbl>
    <w:p w:rsidR="009A4BCD" w:rsidRPr="009A4BCD" w:rsidRDefault="009A4BCD" w:rsidP="007914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Показания для проведения экстракорпорального оплодотворения с использованием донорских эмбрионов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Отсутствие ооцитов.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Неблагоприятный медико-генетический прогноз.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Неоднократное получение (более трех раз) эмбрионов низкого качества, перенос которых не приводил к наступлению беременности.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Невозможность получения или использования спермы, состоящих в браке (супружестве).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A4BCD" w:rsidRPr="009A4BCD" w:rsidTr="009A4BC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A4BCD" w:rsidRPr="009A4BCD" w:rsidRDefault="009A4BCD" w:rsidP="0079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162"/>
            <w:bookmarkEnd w:id="10"/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 условиям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донорства 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половых клеток, тканей</w:t>
            </w:r>
            <w:r w:rsidRPr="009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репродуктивных органов</w:t>
            </w:r>
          </w:p>
        </w:tc>
      </w:tr>
    </w:tbl>
    <w:p w:rsidR="009A4BCD" w:rsidRPr="009A4BCD" w:rsidRDefault="009A4BCD" w:rsidP="007914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Противопоказания для проведения экстракорпорального оплодотворения с использованием донорских эмбрионов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Соматические и психические заболевания, являющиеся противопоказаниями для вынашивания беременности и родов.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Врожденные пороки развития или приобретенные деформации полости матки, при которых невозможна имплантация эмбрионов или вынашивание беременности.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Опухоли яичников.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Доброкачественные опухоли матки, требующие оперативного лечения.</w:t>
      </w:r>
    </w:p>
    <w:p w:rsidR="009A4BCD" w:rsidRPr="009A4BCD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Острые воспалительные заболевания любой локализации.</w:t>
      </w:r>
    </w:p>
    <w:p w:rsidR="000B2BEB" w:rsidRPr="0079143B" w:rsidRDefault="009A4BCD" w:rsidP="00791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Злокачественные новообразования любой локализации на момент проведения процедуры.</w:t>
      </w:r>
    </w:p>
    <w:sectPr w:rsidR="000B2BEB" w:rsidRPr="0079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20E08"/>
    <w:multiLevelType w:val="multilevel"/>
    <w:tmpl w:val="F6AC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CD"/>
    <w:rsid w:val="000B2BEB"/>
    <w:rsid w:val="0079143B"/>
    <w:rsid w:val="008E3E27"/>
    <w:rsid w:val="009A4BCD"/>
    <w:rsid w:val="00D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3567"/>
  <w15:chartTrackingRefBased/>
  <w15:docId w15:val="{F85D9ABB-A860-45FC-A765-C64893E3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4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B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4BCD"/>
    <w:rPr>
      <w:color w:val="0000FF"/>
      <w:u w:val="single"/>
    </w:rPr>
  </w:style>
  <w:style w:type="paragraph" w:styleId="a5">
    <w:name w:val="No Spacing"/>
    <w:uiPriority w:val="1"/>
    <w:qFormat/>
    <w:rsid w:val="008E3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090005903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4</cp:revision>
  <dcterms:created xsi:type="dcterms:W3CDTF">2020-12-21T04:33:00Z</dcterms:created>
  <dcterms:modified xsi:type="dcterms:W3CDTF">2020-12-21T05:00:00Z</dcterms:modified>
</cp:coreProperties>
</file>